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A3E39" w14:textId="1E9C2834" w:rsidR="008E5050"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Características</w:t>
      </w:r>
    </w:p>
    <w:p w14:paraId="33754DBC" w14:textId="01F96981" w:rsidR="00B0198F" w:rsidRPr="00B0198F" w:rsidRDefault="00B0198F" w:rsidP="0059235A">
      <w:pPr>
        <w:pStyle w:val="Prrafodelista"/>
        <w:spacing w:line="360" w:lineRule="auto"/>
        <w:jc w:val="both"/>
        <w:rPr>
          <w:rFonts w:ascii="Humanst521 BT" w:hAnsi="Humanst521 BT"/>
        </w:rPr>
      </w:pPr>
      <w:r>
        <w:rPr>
          <w:rFonts w:ascii="Humanst521 BT" w:hAnsi="Humanst521 BT"/>
        </w:rPr>
        <w:t>Modelo de madurez</w:t>
      </w:r>
      <w:r w:rsidR="00255400">
        <w:rPr>
          <w:rFonts w:ascii="Humanst521 BT" w:hAnsi="Humanst521 BT"/>
        </w:rPr>
        <w:t xml:space="preserve"> adaptado a las Pymes, abarca el nivel 0</w:t>
      </w:r>
    </w:p>
    <w:p w14:paraId="6778AC4D" w14:textId="48454C37" w:rsidR="00222344" w:rsidRDefault="00222344" w:rsidP="0059235A">
      <w:pPr>
        <w:pStyle w:val="Prrafodelista"/>
        <w:spacing w:line="360" w:lineRule="auto"/>
        <w:jc w:val="both"/>
        <w:rPr>
          <w:rFonts w:ascii="Humanst521 BT" w:hAnsi="Humanst521 BT"/>
        </w:rPr>
      </w:pPr>
      <w:r>
        <w:rPr>
          <w:rFonts w:ascii="Humanst521 BT" w:hAnsi="Humanst521 BT"/>
        </w:rPr>
        <w:t>Enfoque: modelo holístico</w:t>
      </w:r>
    </w:p>
    <w:p w14:paraId="09A02751" w14:textId="59B22304" w:rsidR="00C03FB2" w:rsidRDefault="000F32CF" w:rsidP="0059235A">
      <w:pPr>
        <w:pStyle w:val="Prrafodelista"/>
        <w:spacing w:line="360" w:lineRule="auto"/>
        <w:jc w:val="both"/>
        <w:rPr>
          <w:rFonts w:ascii="Humanst521 BT" w:hAnsi="Humanst521 BT"/>
        </w:rPr>
      </w:pPr>
      <w:r>
        <w:rPr>
          <w:rFonts w:ascii="Humanst521 BT" w:hAnsi="Humanst521 BT"/>
        </w:rPr>
        <w:t>Dimensiones: tecnología, procesos de producción, personas, producto inteligente,</w:t>
      </w:r>
    </w:p>
    <w:p w14:paraId="7E4DD38F" w14:textId="16278D79" w:rsidR="000F32CF" w:rsidRDefault="000F32CF" w:rsidP="0059235A">
      <w:pPr>
        <w:pStyle w:val="Prrafodelista"/>
        <w:spacing w:line="360" w:lineRule="auto"/>
        <w:jc w:val="both"/>
        <w:rPr>
          <w:rFonts w:ascii="Humanst521 BT" w:hAnsi="Humanst521 BT"/>
        </w:rPr>
      </w:pPr>
      <w:r>
        <w:rPr>
          <w:rFonts w:ascii="Humanst521 BT" w:hAnsi="Humanst521 BT"/>
        </w:rPr>
        <w:t>Organización, cambio.</w:t>
      </w:r>
    </w:p>
    <w:p w14:paraId="5748C523" w14:textId="5ECC288D" w:rsidR="000F32CF" w:rsidRDefault="000F32CF" w:rsidP="0059235A">
      <w:pPr>
        <w:pStyle w:val="Prrafodelista"/>
        <w:spacing w:line="360" w:lineRule="auto"/>
        <w:jc w:val="both"/>
        <w:rPr>
          <w:rFonts w:ascii="Humanst521 BT" w:hAnsi="Humanst521 BT"/>
        </w:rPr>
      </w:pPr>
      <w:r w:rsidRPr="000A2FEC">
        <w:rPr>
          <w:rFonts w:ascii="Humanst521 BT" w:hAnsi="Humanst521 BT"/>
          <w:u w:val="single"/>
        </w:rPr>
        <w:t>Tecnología:</w:t>
      </w:r>
      <w:r>
        <w:rPr>
          <w:rFonts w:ascii="Humanst521 BT" w:hAnsi="Humanst521 BT"/>
        </w:rPr>
        <w:t xml:space="preserve"> </w:t>
      </w:r>
      <w:r w:rsidR="009A19BF">
        <w:rPr>
          <w:rFonts w:ascii="Humanst521 BT" w:hAnsi="Humanst521 BT"/>
        </w:rPr>
        <w:t>es necesario que las empresas cuenten con ciertas tecnologías, o al menos una infraestructura adecuada para su implementación. El objetivo de esta dimensión es permitir comprender qué tipo de infraestructura tiene cada empresa para soportar la implementación de tecnología.</w:t>
      </w:r>
    </w:p>
    <w:p w14:paraId="01770EBF" w14:textId="069962CC" w:rsidR="009A19BF" w:rsidRDefault="00A42B49" w:rsidP="0059235A">
      <w:pPr>
        <w:pStyle w:val="Prrafodelista"/>
        <w:spacing w:line="360" w:lineRule="auto"/>
        <w:jc w:val="both"/>
        <w:rPr>
          <w:rFonts w:ascii="Humanst521 BT" w:hAnsi="Humanst521 BT"/>
        </w:rPr>
      </w:pPr>
      <w:r w:rsidRPr="000A2FEC">
        <w:rPr>
          <w:rFonts w:ascii="Humanst521 BT" w:hAnsi="Humanst521 BT"/>
          <w:u w:val="single"/>
        </w:rPr>
        <w:t>Procesos de producción</w:t>
      </w:r>
      <w:r>
        <w:rPr>
          <w:rFonts w:ascii="Humanst521 BT" w:hAnsi="Humanst521 BT"/>
        </w:rPr>
        <w:t xml:space="preserve">: es necesario evaluar cómo la empresa gestiona sus </w:t>
      </w:r>
      <w:r w:rsidR="008C2C90">
        <w:rPr>
          <w:rFonts w:ascii="Humanst521 BT" w:hAnsi="Humanst521 BT"/>
        </w:rPr>
        <w:t>actividades, datos, información y conocimiento.</w:t>
      </w:r>
      <w:r w:rsidR="003D6FBC">
        <w:rPr>
          <w:rFonts w:ascii="Humanst521 BT" w:hAnsi="Humanst521 BT"/>
        </w:rPr>
        <w:t xml:space="preserve"> Esta dimensión evalúa cómo la producción se ve afectada con la implementación de diferentes tecnologías y cómo la empresa colabora dentro de sí misma.</w:t>
      </w:r>
    </w:p>
    <w:p w14:paraId="5358EACA" w14:textId="492971A3" w:rsidR="00F5634A" w:rsidRDefault="00F5634A" w:rsidP="0059235A">
      <w:pPr>
        <w:pStyle w:val="Prrafodelista"/>
        <w:spacing w:line="360" w:lineRule="auto"/>
        <w:jc w:val="both"/>
        <w:rPr>
          <w:rFonts w:ascii="Humanst521 BT" w:hAnsi="Humanst521 BT"/>
        </w:rPr>
      </w:pPr>
      <w:r w:rsidRPr="000A2FEC">
        <w:rPr>
          <w:rFonts w:ascii="Humanst521 BT" w:hAnsi="Humanst521 BT"/>
          <w:u w:val="single"/>
        </w:rPr>
        <w:t>Persona:</w:t>
      </w:r>
      <w:r>
        <w:rPr>
          <w:rFonts w:ascii="Humanst521 BT" w:hAnsi="Humanst521 BT"/>
        </w:rPr>
        <w:t xml:space="preserve"> </w:t>
      </w:r>
      <w:r w:rsidR="00F47DC5">
        <w:rPr>
          <w:rFonts w:ascii="Humanst521 BT" w:hAnsi="Humanst521 BT"/>
        </w:rPr>
        <w:t>p</w:t>
      </w:r>
      <w:r w:rsidR="00F47DC5" w:rsidRPr="00F47DC5">
        <w:rPr>
          <w:rFonts w:ascii="Humanst521 BT" w:hAnsi="Humanst521 BT"/>
        </w:rPr>
        <w:t>ara un cambio fluido del estado actual de una empresa hacia un entorno I4.0, es necesario evaluar a los trabajadores. Esta evaluación debe centrarse esencialmente en su conjunto de habilidades, en lo que la empresa está haciendo activamente para desarrollar sus capacidades y, sobre todo, en la voluntad del empleado de cambiar. Sin la contribución de los trabajadores, la implementación de las medidas I4.0 no es posible</w:t>
      </w:r>
      <w:r w:rsidR="00F47DC5">
        <w:rPr>
          <w:rFonts w:ascii="Humanst521 BT" w:hAnsi="Humanst521 BT"/>
        </w:rPr>
        <w:t>.</w:t>
      </w:r>
    </w:p>
    <w:p w14:paraId="636007EE" w14:textId="7BAF68AC" w:rsidR="00892860" w:rsidRDefault="00892860" w:rsidP="0059235A">
      <w:pPr>
        <w:pStyle w:val="Prrafodelista"/>
        <w:spacing w:line="360" w:lineRule="auto"/>
        <w:jc w:val="both"/>
        <w:rPr>
          <w:rFonts w:ascii="Humanst521 BT" w:hAnsi="Humanst521 BT"/>
        </w:rPr>
      </w:pPr>
      <w:r w:rsidRPr="009A4AFE">
        <w:rPr>
          <w:rFonts w:ascii="Humanst521 BT" w:hAnsi="Humanst521 BT"/>
          <w:u w:val="single"/>
        </w:rPr>
        <w:t>Producto inteligente:</w:t>
      </w:r>
      <w:r w:rsidR="004675A1" w:rsidRPr="004675A1">
        <w:t xml:space="preserve"> </w:t>
      </w:r>
      <w:r w:rsidR="004675A1" w:rsidRPr="004675A1">
        <w:rPr>
          <w:rFonts w:ascii="Humanst521 BT" w:hAnsi="Humanst521 BT"/>
        </w:rPr>
        <w:t>Uno de los aspectos clave de esta revolución industrial es el cambio de los modelos de negocio de estas empresas a modelos de negocio “como servicio”</w:t>
      </w:r>
      <w:r w:rsidR="00D47FBD">
        <w:rPr>
          <w:rFonts w:ascii="Humanst521 BT" w:hAnsi="Humanst521 BT"/>
        </w:rPr>
        <w:t>.</w:t>
      </w:r>
      <w:r w:rsidR="00467673" w:rsidRPr="00467673">
        <w:t xml:space="preserve"> </w:t>
      </w:r>
      <w:r w:rsidR="00467673" w:rsidRPr="00467673">
        <w:rPr>
          <w:rFonts w:ascii="Humanst521 BT" w:hAnsi="Humanst521 BT"/>
        </w:rPr>
        <w:t>Para lograr este objetivo, es necesario disponer de la cantidad de información más precisa y completa posible sobre el cliente.</w:t>
      </w:r>
      <w:r w:rsidR="00A87C48" w:rsidRPr="00A87C48">
        <w:t xml:space="preserve"> </w:t>
      </w:r>
      <w:r w:rsidR="00A87C48" w:rsidRPr="00A87C48">
        <w:rPr>
          <w:rFonts w:ascii="Humanst521 BT" w:hAnsi="Humanst521 BT"/>
        </w:rPr>
        <w:t>I4.0 ya proporciona medidas concretas para lograr este objetivo, por ejemplo, permitir que la empresa esté conectada con el producto en sí mientras ya está en posesión del cliente, impulsa en gran medida la recopilación de datos e información</w:t>
      </w:r>
      <w:r w:rsidR="00A87C48">
        <w:rPr>
          <w:rFonts w:ascii="Humanst521 BT" w:hAnsi="Humanst521 BT"/>
        </w:rPr>
        <w:t>.</w:t>
      </w:r>
    </w:p>
    <w:p w14:paraId="6E52A569" w14:textId="4E9D80AA" w:rsidR="00861D32" w:rsidRDefault="00861D32" w:rsidP="0059235A">
      <w:pPr>
        <w:pStyle w:val="Prrafodelista"/>
        <w:spacing w:line="360" w:lineRule="auto"/>
        <w:jc w:val="both"/>
        <w:rPr>
          <w:rFonts w:ascii="Humanst521 BT" w:hAnsi="Humanst521 BT"/>
        </w:rPr>
      </w:pPr>
      <w:r w:rsidRPr="000A2FEC">
        <w:rPr>
          <w:rFonts w:ascii="Humanst521 BT" w:hAnsi="Humanst521 BT"/>
          <w:u w:val="single"/>
        </w:rPr>
        <w:t>Organización:</w:t>
      </w:r>
      <w:r w:rsidR="00986298" w:rsidRPr="00986298">
        <w:t xml:space="preserve"> </w:t>
      </w:r>
      <w:r w:rsidR="00986298" w:rsidRPr="00986298">
        <w:rPr>
          <w:rFonts w:ascii="Humanst521 BT" w:hAnsi="Humanst521 BT"/>
        </w:rPr>
        <w:t xml:space="preserve">Esta dimensión cubre cómo se organiza la empresa a lo largo de este </w:t>
      </w:r>
      <w:r w:rsidR="00640106" w:rsidRPr="00986298">
        <w:rPr>
          <w:rFonts w:ascii="Humanst521 BT" w:hAnsi="Humanst521 BT"/>
        </w:rPr>
        <w:t>viaje junto</w:t>
      </w:r>
      <w:r w:rsidR="00986298" w:rsidRPr="00986298">
        <w:rPr>
          <w:rFonts w:ascii="Humanst521 BT" w:hAnsi="Humanst521 BT"/>
        </w:rPr>
        <w:t xml:space="preserve"> con una comprensión de qué tipo de colaboración existe en la cadena de valor de la empresa. Además, la existencia de </w:t>
      </w:r>
      <w:commentRangeStart w:id="0"/>
      <w:r w:rsidR="00986298" w:rsidRPr="00986298">
        <w:rPr>
          <w:rFonts w:ascii="Humanst521 BT" w:hAnsi="Humanst521 BT"/>
        </w:rPr>
        <w:t>KPI</w:t>
      </w:r>
      <w:commentRangeEnd w:id="0"/>
      <w:r w:rsidR="008247AF">
        <w:rPr>
          <w:rStyle w:val="Refdecomentario"/>
        </w:rPr>
        <w:commentReference w:id="0"/>
      </w:r>
      <w:r w:rsidR="00986298" w:rsidRPr="00986298">
        <w:rPr>
          <w:rFonts w:ascii="Humanst521 BT" w:hAnsi="Humanst521 BT"/>
        </w:rPr>
        <w:t xml:space="preserve"> para controlar la empresa y cómo se relacionan con las métricas I4.0 es una característica clave a la hora de organizar una empresa que pretende implementar este concepto</w:t>
      </w:r>
      <w:r w:rsidR="00986298">
        <w:rPr>
          <w:rFonts w:ascii="Humanst521 BT" w:hAnsi="Humanst521 BT"/>
        </w:rPr>
        <w:t>.</w:t>
      </w:r>
    </w:p>
    <w:p w14:paraId="2A407E1C" w14:textId="5C6146F0" w:rsidR="00640106" w:rsidRDefault="00A21EFB" w:rsidP="0059235A">
      <w:pPr>
        <w:pStyle w:val="Prrafodelista"/>
        <w:spacing w:line="360" w:lineRule="auto"/>
        <w:jc w:val="both"/>
        <w:rPr>
          <w:rFonts w:ascii="Humanst521 BT" w:hAnsi="Humanst521 BT"/>
        </w:rPr>
      </w:pPr>
      <w:r w:rsidRPr="000A2FEC">
        <w:rPr>
          <w:rFonts w:ascii="Humanst521 BT" w:hAnsi="Humanst521 BT"/>
          <w:u w:val="single"/>
        </w:rPr>
        <w:t>Cambio:</w:t>
      </w:r>
      <w:r w:rsidR="003F6945">
        <w:rPr>
          <w:rFonts w:ascii="Humanst521 BT" w:hAnsi="Humanst521 BT"/>
        </w:rPr>
        <w:t xml:space="preserve"> </w:t>
      </w:r>
      <w:r w:rsidR="003F6945" w:rsidRPr="003F6945">
        <w:rPr>
          <w:rFonts w:ascii="Humanst521 BT" w:hAnsi="Humanst521 BT"/>
        </w:rPr>
        <w:t>Cambiar la visión de una empresa hacia I4.0 requiere un compromiso por parte de cualquier pequeña, mediana o gran empresa</w:t>
      </w:r>
      <w:r w:rsidR="003F6945">
        <w:rPr>
          <w:rFonts w:ascii="Humanst521 BT" w:hAnsi="Humanst521 BT"/>
        </w:rPr>
        <w:t>.</w:t>
      </w:r>
      <w:r w:rsidR="00992429" w:rsidRPr="00992429">
        <w:t xml:space="preserve"> </w:t>
      </w:r>
      <w:r w:rsidR="00992429" w:rsidRPr="00992429">
        <w:rPr>
          <w:rFonts w:ascii="Humanst521 BT" w:hAnsi="Humanst521 BT"/>
        </w:rPr>
        <w:t xml:space="preserve">Esta dimensión está interconectada con todas las dimensiones descritas anteriormente y puede considerarse como la descripción general del modelo propuesto. De hecho, esta dimensión evalúa cómo la empresa gestiona este </w:t>
      </w:r>
      <w:r w:rsidR="00992429" w:rsidRPr="00992429">
        <w:rPr>
          <w:rFonts w:ascii="Humanst521 BT" w:hAnsi="Humanst521 BT"/>
        </w:rPr>
        <w:lastRenderedPageBreak/>
        <w:t>proceso de cambio, y dos de sus subdimensiones están directamente relacionadas con otras dos dimensiones del modelo. Aunque tres de los modelos mencionados anteriormente también consideran esta dimensión, la llaman “estrategia”. En este modelo propuesto, esta dimensión se denomina “cambio”, ya que este término capta mejor lo que realmente se está evaluando</w:t>
      </w:r>
    </w:p>
    <w:p w14:paraId="5F9098B1" w14:textId="77777777" w:rsidR="00234245" w:rsidRDefault="00234245" w:rsidP="0059235A">
      <w:pPr>
        <w:pStyle w:val="Prrafodelista"/>
        <w:spacing w:line="360" w:lineRule="auto"/>
        <w:jc w:val="both"/>
        <w:rPr>
          <w:rFonts w:ascii="Humanst521 BT" w:hAnsi="Humanst521 BT"/>
        </w:rPr>
      </w:pPr>
    </w:p>
    <w:p w14:paraId="066D0B8F" w14:textId="04FE2729" w:rsidR="00234245" w:rsidRDefault="00234245" w:rsidP="0059235A">
      <w:pPr>
        <w:pStyle w:val="Prrafodelista"/>
        <w:spacing w:line="360" w:lineRule="auto"/>
        <w:jc w:val="both"/>
        <w:rPr>
          <w:rFonts w:ascii="Humanst521 BT" w:hAnsi="Humanst521 BT"/>
        </w:rPr>
      </w:pPr>
      <w:r w:rsidRPr="00234245">
        <w:rPr>
          <w:rFonts w:ascii="Humanst521 BT" w:hAnsi="Humanst521 BT"/>
          <w:noProof/>
        </w:rPr>
        <w:drawing>
          <wp:inline distT="0" distB="0" distL="0" distR="0" wp14:anchorId="32646A36" wp14:editId="0900DD92">
            <wp:extent cx="5612130" cy="2456815"/>
            <wp:effectExtent l="0" t="0" r="7620" b="635"/>
            <wp:docPr id="51192373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49078" name=""/>
                    <pic:cNvPicPr/>
                  </pic:nvPicPr>
                  <pic:blipFill>
                    <a:blip r:embed="rId9"/>
                    <a:stretch>
                      <a:fillRect/>
                    </a:stretch>
                  </pic:blipFill>
                  <pic:spPr>
                    <a:xfrm>
                      <a:off x="0" y="0"/>
                      <a:ext cx="5612130" cy="2456815"/>
                    </a:xfrm>
                    <a:prstGeom prst="rect">
                      <a:avLst/>
                    </a:prstGeom>
                  </pic:spPr>
                </pic:pic>
              </a:graphicData>
            </a:graphic>
          </wp:inline>
        </w:drawing>
      </w:r>
      <w:r w:rsidR="00510BEB">
        <w:rPr>
          <w:rFonts w:ascii="Humanst521 BT" w:hAnsi="Humanst521 BT"/>
        </w:rPr>
        <w:t xml:space="preserve"> </w:t>
      </w:r>
    </w:p>
    <w:p w14:paraId="54D24CDF" w14:textId="77777777" w:rsidR="00C20115" w:rsidRDefault="00C20115" w:rsidP="0059235A">
      <w:pPr>
        <w:pStyle w:val="Prrafodelista"/>
        <w:spacing w:line="360" w:lineRule="auto"/>
        <w:jc w:val="both"/>
        <w:rPr>
          <w:rFonts w:ascii="Humanst521 BT" w:hAnsi="Humanst521 BT"/>
        </w:rPr>
      </w:pPr>
    </w:p>
    <w:p w14:paraId="2A12EB67" w14:textId="319B5A4F" w:rsidR="00CB5C3D"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 xml:space="preserve">Fortalezas </w:t>
      </w:r>
    </w:p>
    <w:p w14:paraId="36FE0CB0" w14:textId="3A3DB26F" w:rsidR="00F61600" w:rsidRDefault="00F61600" w:rsidP="00F61600">
      <w:pPr>
        <w:pStyle w:val="Prrafodelista"/>
        <w:spacing w:line="360" w:lineRule="auto"/>
        <w:jc w:val="both"/>
        <w:rPr>
          <w:rFonts w:ascii="Humanst521 BT" w:hAnsi="Humanst521 BT"/>
          <w:b/>
          <w:bCs/>
        </w:rPr>
      </w:pPr>
    </w:p>
    <w:p w14:paraId="467623A6" w14:textId="3BAB0A58" w:rsidR="001B0827" w:rsidRPr="001B0827" w:rsidRDefault="001B0827" w:rsidP="0059235A">
      <w:pPr>
        <w:pStyle w:val="Prrafodelista"/>
        <w:spacing w:line="360" w:lineRule="auto"/>
        <w:jc w:val="both"/>
        <w:rPr>
          <w:rFonts w:ascii="Humanst521 BT" w:hAnsi="Humanst521 BT"/>
        </w:rPr>
      </w:pPr>
      <w:r>
        <w:rPr>
          <w:rFonts w:ascii="Humanst521 BT" w:hAnsi="Humanst521 BT"/>
        </w:rPr>
        <w:t>Permite una evaluación integral y alta de granularidad de los niveles de madurez de las Pymes</w:t>
      </w:r>
      <w:r w:rsidR="00222344">
        <w:rPr>
          <w:rFonts w:ascii="Humanst521 BT" w:hAnsi="Humanst521 BT"/>
        </w:rPr>
        <w:t>, facilitando su integración en la Industria 4.0</w:t>
      </w:r>
    </w:p>
    <w:p w14:paraId="4952325C" w14:textId="77777777" w:rsidR="000F3C17" w:rsidRDefault="000F3C17" w:rsidP="0059235A">
      <w:pPr>
        <w:pStyle w:val="Prrafodelista"/>
        <w:spacing w:line="360" w:lineRule="auto"/>
        <w:jc w:val="both"/>
        <w:rPr>
          <w:rFonts w:ascii="Humanst521 BT" w:hAnsi="Humanst521 BT"/>
        </w:rPr>
      </w:pPr>
    </w:p>
    <w:p w14:paraId="1B96470F" w14:textId="2B0F3784" w:rsidR="000F3C17" w:rsidRDefault="000F3C17" w:rsidP="0059235A">
      <w:pPr>
        <w:pStyle w:val="Prrafodelista"/>
        <w:spacing w:line="360" w:lineRule="auto"/>
        <w:jc w:val="both"/>
        <w:rPr>
          <w:rFonts w:ascii="Humanst521 BT" w:hAnsi="Humanst521 BT"/>
        </w:rPr>
      </w:pPr>
      <w:r w:rsidRPr="000F3C17">
        <w:rPr>
          <w:rFonts w:ascii="Humanst521 BT" w:hAnsi="Humanst521 BT"/>
        </w:rPr>
        <w:t>Proporciona un marco claro y estructurado que permite a las empresas autoevaluarse y mapear sus estrategias de digitalización</w:t>
      </w:r>
      <w:r w:rsidR="003C26E2">
        <w:rPr>
          <w:rFonts w:ascii="Humanst521 BT" w:hAnsi="Humanst521 BT"/>
        </w:rPr>
        <w:t xml:space="preserve">. </w:t>
      </w:r>
    </w:p>
    <w:p w14:paraId="3939EA13" w14:textId="78621928" w:rsidR="00942234" w:rsidRDefault="00942234" w:rsidP="0059235A">
      <w:pPr>
        <w:pStyle w:val="Prrafodelista"/>
        <w:spacing w:line="360" w:lineRule="auto"/>
        <w:jc w:val="both"/>
        <w:rPr>
          <w:rFonts w:ascii="Humanst521 BT" w:hAnsi="Humanst521 BT"/>
        </w:rPr>
      </w:pPr>
      <w:r w:rsidRPr="00942234">
        <w:rPr>
          <w:rFonts w:ascii="Humanst521 BT" w:hAnsi="Humanst521 BT"/>
        </w:rPr>
        <w:t>Facilita la identificación de áreas de mejora y permite a las empresas predecir el impacto de nuevas iniciativas de digitalización en su nivel de madurez</w:t>
      </w:r>
      <w:r w:rsidR="00F61600">
        <w:rPr>
          <w:rFonts w:ascii="Humanst521 BT" w:hAnsi="Humanst521 BT"/>
        </w:rPr>
        <w:t xml:space="preserve">. </w:t>
      </w:r>
      <w:r w:rsidR="00F61600" w:rsidRPr="00F61600">
        <w:rPr>
          <w:rFonts w:ascii="Humanst521 BT" w:hAnsi="Humanst521 BT"/>
          <w:b/>
          <w:bCs/>
        </w:rPr>
        <w:t>MODELO DESCRIPTIVO</w:t>
      </w:r>
    </w:p>
    <w:p w14:paraId="14862057" w14:textId="77777777" w:rsidR="00D05290" w:rsidRPr="001B0827" w:rsidRDefault="00D05290" w:rsidP="0059235A">
      <w:pPr>
        <w:pStyle w:val="Prrafodelista"/>
        <w:spacing w:line="360" w:lineRule="auto"/>
        <w:jc w:val="both"/>
        <w:rPr>
          <w:rFonts w:ascii="Humanst521 BT" w:hAnsi="Humanst521 BT"/>
        </w:rPr>
      </w:pPr>
    </w:p>
    <w:p w14:paraId="662F6A9D" w14:textId="2AEEA025" w:rsidR="00CB5C3D" w:rsidRPr="00CB5C3D"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Debilidades</w:t>
      </w:r>
    </w:p>
    <w:p w14:paraId="3EE6FEF4" w14:textId="715491A4" w:rsidR="000D163B" w:rsidRPr="000D163B" w:rsidRDefault="000D163B" w:rsidP="0059235A">
      <w:pPr>
        <w:pStyle w:val="Prrafodelista"/>
        <w:spacing w:line="360" w:lineRule="auto"/>
        <w:jc w:val="both"/>
        <w:rPr>
          <w:rFonts w:ascii="Humanst521 BT" w:hAnsi="Humanst521 BT"/>
        </w:rPr>
      </w:pPr>
      <w:r w:rsidRPr="000D163B">
        <w:rPr>
          <w:rFonts w:ascii="Humanst521 BT" w:hAnsi="Humanst521 BT"/>
        </w:rPr>
        <w:t xml:space="preserve">La implementación del modelo puede ser compleja para empresas que no tienen experiencia previa en digitalización. </w:t>
      </w:r>
    </w:p>
    <w:p w14:paraId="3F1CE297" w14:textId="77777777" w:rsidR="000D163B" w:rsidRPr="00CB5C3D" w:rsidRDefault="000D163B" w:rsidP="0059235A">
      <w:pPr>
        <w:pStyle w:val="Prrafodelista"/>
        <w:spacing w:line="360" w:lineRule="auto"/>
        <w:jc w:val="both"/>
        <w:rPr>
          <w:rFonts w:ascii="Humanst521 BT" w:hAnsi="Humanst521 BT"/>
          <w:b/>
          <w:bCs/>
        </w:rPr>
      </w:pPr>
    </w:p>
    <w:p w14:paraId="69E193A0" w14:textId="0B980D78" w:rsidR="00CB5C3D" w:rsidRPr="00CB5C3D"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Relevancia</w:t>
      </w:r>
    </w:p>
    <w:p w14:paraId="20E965E1" w14:textId="5737AC80" w:rsidR="000D163B" w:rsidRPr="007E456A" w:rsidRDefault="007E456A" w:rsidP="0059235A">
      <w:pPr>
        <w:pStyle w:val="Prrafodelista"/>
        <w:spacing w:line="360" w:lineRule="auto"/>
        <w:jc w:val="both"/>
        <w:rPr>
          <w:rFonts w:ascii="Humanst521 BT" w:hAnsi="Humanst521 BT"/>
        </w:rPr>
      </w:pPr>
      <w:r w:rsidRPr="007E456A">
        <w:rPr>
          <w:rFonts w:ascii="Humanst521 BT" w:hAnsi="Humanst521 BT"/>
        </w:rPr>
        <w:lastRenderedPageBreak/>
        <w:t>El modelo es relevante para las PYMES que buscan adoptar tecnologías de la Industria 4.0, ya que aborda las necesidades específicas de estas empresas y proporciona un enfoque holístico</w:t>
      </w:r>
    </w:p>
    <w:p w14:paraId="65904301" w14:textId="77777777" w:rsidR="000D163B" w:rsidRPr="00CB5C3D" w:rsidRDefault="000D163B" w:rsidP="0059235A">
      <w:pPr>
        <w:pStyle w:val="Prrafodelista"/>
        <w:spacing w:line="360" w:lineRule="auto"/>
        <w:jc w:val="both"/>
        <w:rPr>
          <w:rFonts w:ascii="Humanst521 BT" w:hAnsi="Humanst521 BT"/>
          <w:b/>
          <w:bCs/>
        </w:rPr>
      </w:pPr>
    </w:p>
    <w:p w14:paraId="1ECA18DA" w14:textId="34322257" w:rsidR="007E456A"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Ap</w:t>
      </w:r>
      <w:r w:rsidR="007E456A">
        <w:rPr>
          <w:rFonts w:ascii="Humanst521 BT" w:hAnsi="Humanst521 BT"/>
          <w:b/>
          <w:bCs/>
        </w:rPr>
        <w:t>licabilidad</w:t>
      </w:r>
    </w:p>
    <w:p w14:paraId="248094B0" w14:textId="1A79A5B1" w:rsidR="007E456A" w:rsidRPr="003B490E" w:rsidRDefault="00EA011B" w:rsidP="0059235A">
      <w:pPr>
        <w:pStyle w:val="Prrafodelista"/>
        <w:spacing w:line="360" w:lineRule="auto"/>
        <w:jc w:val="both"/>
        <w:rPr>
          <w:rFonts w:ascii="Humanst521 BT" w:hAnsi="Humanst521 BT"/>
        </w:rPr>
      </w:pPr>
      <w:r w:rsidRPr="003B490E">
        <w:rPr>
          <w:rFonts w:ascii="Humanst521 BT" w:hAnsi="Humanst521 BT"/>
        </w:rPr>
        <w:t>Se puede aplicar en diversas PYMES, independientemente de su sector, aunque se ha enfatizado su utilidad en empresas de producción no repetitiva</w:t>
      </w:r>
    </w:p>
    <w:p w14:paraId="7FCEFEF8" w14:textId="6F94B17F" w:rsidR="00EA011B" w:rsidRPr="003B490E" w:rsidRDefault="003B490E" w:rsidP="0059235A">
      <w:pPr>
        <w:pStyle w:val="Prrafodelista"/>
        <w:spacing w:line="360" w:lineRule="auto"/>
        <w:jc w:val="both"/>
        <w:rPr>
          <w:rFonts w:ascii="Humanst521 BT" w:hAnsi="Humanst521 BT"/>
        </w:rPr>
      </w:pPr>
      <w:r w:rsidRPr="003B490E">
        <w:rPr>
          <w:rFonts w:ascii="Humanst521 BT" w:hAnsi="Humanst521 BT"/>
        </w:rPr>
        <w:t>Permite a las empresas evaluar su madurez en relación con la digitalización y la adopción de tecnologías avanzadas</w:t>
      </w:r>
    </w:p>
    <w:p w14:paraId="1F5FAA72" w14:textId="77777777" w:rsidR="007E456A" w:rsidRDefault="007E456A" w:rsidP="0059235A">
      <w:pPr>
        <w:pStyle w:val="Prrafodelista"/>
        <w:spacing w:line="360" w:lineRule="auto"/>
        <w:jc w:val="both"/>
        <w:rPr>
          <w:rFonts w:ascii="Humanst521 BT" w:hAnsi="Humanst521 BT"/>
          <w:b/>
          <w:bCs/>
        </w:rPr>
      </w:pPr>
    </w:p>
    <w:p w14:paraId="7DF5513B" w14:textId="7D7A5927" w:rsidR="00CB5C3D" w:rsidRPr="00CB5C3D"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Aporte</w:t>
      </w:r>
    </w:p>
    <w:p w14:paraId="55B72B9C" w14:textId="08B800C7" w:rsidR="003B490E" w:rsidRPr="00945A75" w:rsidRDefault="00CD0F6F" w:rsidP="0059235A">
      <w:pPr>
        <w:pStyle w:val="Prrafodelista"/>
        <w:spacing w:line="360" w:lineRule="auto"/>
        <w:jc w:val="both"/>
        <w:rPr>
          <w:rFonts w:ascii="Humanst521 BT" w:hAnsi="Humanst521 BT"/>
        </w:rPr>
      </w:pPr>
      <w:r w:rsidRPr="00945A75">
        <w:rPr>
          <w:rFonts w:ascii="Humanst521 BT" w:hAnsi="Humanst521 BT"/>
        </w:rPr>
        <w:t>Contribuye a la literatura existente al ofrecer un modelo más detallado y adaptado a las PYMES, superando las limitaciones de modelos anteriores que no consideraban adecuadamente sus necesidades</w:t>
      </w:r>
    </w:p>
    <w:p w14:paraId="77B6408C" w14:textId="7D2EACFD" w:rsidR="00CD0F6F" w:rsidRPr="00945A75" w:rsidRDefault="00945A75" w:rsidP="0059235A">
      <w:pPr>
        <w:pStyle w:val="Prrafodelista"/>
        <w:spacing w:line="360" w:lineRule="auto"/>
        <w:jc w:val="both"/>
        <w:rPr>
          <w:rFonts w:ascii="Humanst521 BT" w:hAnsi="Humanst521 BT"/>
        </w:rPr>
      </w:pPr>
      <w:r w:rsidRPr="00945A75">
        <w:rPr>
          <w:rFonts w:ascii="Humanst521 BT" w:hAnsi="Humanst521 BT"/>
        </w:rPr>
        <w:t>Proporciona un cuestionario asociado que permite a las empresas obtener resultados detallados sobre su nivel de madurez</w:t>
      </w:r>
    </w:p>
    <w:p w14:paraId="73F3EE14" w14:textId="77777777" w:rsidR="003B490E" w:rsidRPr="007E456A" w:rsidRDefault="003B490E" w:rsidP="0059235A">
      <w:pPr>
        <w:pStyle w:val="Prrafodelista"/>
        <w:spacing w:line="360" w:lineRule="auto"/>
        <w:jc w:val="both"/>
        <w:rPr>
          <w:rFonts w:ascii="Humanst521 BT" w:hAnsi="Humanst521 BT"/>
          <w:b/>
          <w:bCs/>
        </w:rPr>
      </w:pPr>
    </w:p>
    <w:p w14:paraId="5197DCC2" w14:textId="5118E8B7" w:rsidR="00CB5C3D" w:rsidRPr="00CB5C3D"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Implementación</w:t>
      </w:r>
    </w:p>
    <w:p w14:paraId="6D76CCA6" w14:textId="77777777" w:rsidR="00CE1B3D" w:rsidRDefault="00CE1B3D" w:rsidP="00CE1B3D">
      <w:pPr>
        <w:pStyle w:val="Prrafodelista"/>
        <w:spacing w:line="360" w:lineRule="auto"/>
        <w:jc w:val="both"/>
        <w:rPr>
          <w:rFonts w:ascii="Humanst521 BT" w:hAnsi="Humanst521 BT"/>
        </w:rPr>
      </w:pPr>
      <w:r w:rsidRPr="00C06E5A">
        <w:rPr>
          <w:rFonts w:ascii="Humanst521 BT" w:hAnsi="Humanst521 BT"/>
        </w:rPr>
        <w:t>El enfoque seguido en esta investigación consiste en una extensa revisión de la literatura con dos enfoques principales: el primer enfoque será la investigación sobre modelos de madurez/preparación y hojas de ruta para la implementación y evaluación de I4.0</w:t>
      </w:r>
      <w:r>
        <w:rPr>
          <w:rFonts w:ascii="Humanst521 BT" w:hAnsi="Humanst521 BT"/>
        </w:rPr>
        <w:t xml:space="preserve">. Este primer enfoque, </w:t>
      </w:r>
      <w:r w:rsidRPr="00F25090">
        <w:rPr>
          <w:rFonts w:ascii="Humanst521 BT" w:hAnsi="Humanst521 BT"/>
        </w:rPr>
        <w:t>permite comprender lo que se está haciendo tanto en el ámbito académico como en el práctico en relación con la evaluación de la madurez I4.0 en la industria. A partir de este apartado se podría constatar la incapacidad de los modelos existentes para evaluar adecuadamente la madurez I4.0 de las PYMES</w:t>
      </w:r>
      <w:r>
        <w:rPr>
          <w:rFonts w:ascii="Humanst521 BT" w:hAnsi="Humanst521 BT"/>
        </w:rPr>
        <w:t>.</w:t>
      </w:r>
    </w:p>
    <w:p w14:paraId="0195E788" w14:textId="77777777" w:rsidR="00CE1B3D" w:rsidRDefault="00CE1B3D" w:rsidP="00CE1B3D">
      <w:pPr>
        <w:pStyle w:val="Prrafodelista"/>
        <w:spacing w:line="360" w:lineRule="auto"/>
        <w:jc w:val="both"/>
        <w:rPr>
          <w:rFonts w:ascii="Humanst521 BT" w:hAnsi="Humanst521 BT"/>
        </w:rPr>
      </w:pPr>
    </w:p>
    <w:p w14:paraId="6EDFFD2F" w14:textId="77777777" w:rsidR="00CE1B3D" w:rsidRDefault="00CE1B3D" w:rsidP="00CE1B3D">
      <w:pPr>
        <w:pStyle w:val="Prrafodelista"/>
        <w:spacing w:line="360" w:lineRule="auto"/>
        <w:jc w:val="both"/>
        <w:rPr>
          <w:rFonts w:ascii="Humanst521 BT" w:hAnsi="Humanst521 BT"/>
        </w:rPr>
      </w:pPr>
      <w:r w:rsidRPr="00F25090">
        <w:rPr>
          <w:rFonts w:ascii="Humanst521 BT" w:hAnsi="Humanst521 BT"/>
        </w:rPr>
        <w:t>La segunda parte de la metodología elegida implica el desarrollo de un modelo de madurez que tiene su base en revisiones de literatura realizadas. Para que dicho modelo de madurez se consuma, primero debe abarcar un marco (presentado en la Sección 4.2). Una vez definida la estructura, se proponen entradas y salidas (dirección Sección4.4), generando un modelo de madurez completa.</w:t>
      </w:r>
    </w:p>
    <w:p w14:paraId="1A1804FA" w14:textId="77777777" w:rsidR="00AB585E" w:rsidRDefault="00AB585E" w:rsidP="00CE1B3D">
      <w:pPr>
        <w:pStyle w:val="Prrafodelista"/>
        <w:spacing w:line="360" w:lineRule="auto"/>
        <w:jc w:val="both"/>
        <w:rPr>
          <w:rFonts w:ascii="Humanst521 BT" w:hAnsi="Humanst521 BT"/>
        </w:rPr>
      </w:pPr>
    </w:p>
    <w:p w14:paraId="77EDF009" w14:textId="3291FB5E" w:rsidR="00AB585E" w:rsidRDefault="00AB585E" w:rsidP="00BB3A1E">
      <w:pPr>
        <w:pStyle w:val="Prrafodelista"/>
        <w:spacing w:line="360" w:lineRule="auto"/>
        <w:jc w:val="both"/>
        <w:rPr>
          <w:rFonts w:ascii="Humanst521 BT" w:hAnsi="Humanst521 BT"/>
        </w:rPr>
      </w:pPr>
      <w:r w:rsidRPr="00AB585E">
        <w:rPr>
          <w:rFonts w:ascii="Humanst521 BT" w:hAnsi="Humanst521 BT"/>
        </w:rPr>
        <w:lastRenderedPageBreak/>
        <w:t>Una vez definido el enfoque del modelo propuesto, los autores realizaron un análisis de evaluación de exhaustividad para comprender en qué medida esta herramienta desarrollada aborda el concepto de </w:t>
      </w:r>
      <w:r w:rsidRPr="00BB3A1E">
        <w:rPr>
          <w:rFonts w:ascii="Humanst521 BT" w:hAnsi="Humanst521 BT"/>
        </w:rPr>
        <w:t>I4.0.</w:t>
      </w:r>
    </w:p>
    <w:p w14:paraId="2FAF2C3A" w14:textId="77777777" w:rsidR="002A285C" w:rsidRDefault="002A285C" w:rsidP="00BB3A1E">
      <w:pPr>
        <w:pStyle w:val="Prrafodelista"/>
        <w:spacing w:line="360" w:lineRule="auto"/>
        <w:jc w:val="both"/>
        <w:rPr>
          <w:rFonts w:ascii="Humanst521 BT" w:hAnsi="Humanst521 BT"/>
        </w:rPr>
      </w:pPr>
    </w:p>
    <w:p w14:paraId="3A9BCBCE" w14:textId="3A84DD9D" w:rsidR="002A285C" w:rsidRDefault="002A285C" w:rsidP="00BB3A1E">
      <w:pPr>
        <w:pStyle w:val="Prrafodelista"/>
        <w:spacing w:line="360" w:lineRule="auto"/>
        <w:jc w:val="both"/>
        <w:rPr>
          <w:rFonts w:ascii="Humanst521 BT" w:hAnsi="Humanst521 BT"/>
        </w:rPr>
      </w:pPr>
      <w:r>
        <w:rPr>
          <w:rFonts w:ascii="Humanst521 BT" w:hAnsi="Humanst521 BT"/>
        </w:rPr>
        <w:t>Implementación:</w:t>
      </w:r>
    </w:p>
    <w:p w14:paraId="043CDBC9" w14:textId="6A80F40C" w:rsidR="002A285C" w:rsidRPr="002A285C" w:rsidRDefault="002A285C" w:rsidP="002A285C">
      <w:pPr>
        <w:pStyle w:val="Prrafodelista"/>
        <w:spacing w:line="360" w:lineRule="auto"/>
        <w:jc w:val="both"/>
        <w:rPr>
          <w:rFonts w:ascii="Humanst521 BT" w:hAnsi="Humanst521 BT"/>
        </w:rPr>
      </w:pPr>
      <w:r w:rsidRPr="002A285C">
        <w:rPr>
          <w:rFonts w:ascii="Humanst521 BT" w:hAnsi="Humanst521 BT"/>
        </w:rPr>
        <w:t xml:space="preserve">Selección de la </w:t>
      </w:r>
      <w:r>
        <w:rPr>
          <w:rFonts w:ascii="Humanst521 BT" w:hAnsi="Humanst521 BT"/>
        </w:rPr>
        <w:t>e</w:t>
      </w:r>
      <w:r w:rsidRPr="002A285C">
        <w:rPr>
          <w:rFonts w:ascii="Humanst521 BT" w:hAnsi="Humanst521 BT"/>
        </w:rPr>
        <w:t>mpresa: Se eligió una PYME de producción única, sin líneas de montaje, para evaluar la aplicabilidad del modelo en un contexto no convencional.</w:t>
      </w:r>
    </w:p>
    <w:p w14:paraId="2DC85F19" w14:textId="77777777" w:rsidR="002A285C" w:rsidRPr="002A285C" w:rsidRDefault="002A285C" w:rsidP="002A285C">
      <w:pPr>
        <w:pStyle w:val="Prrafodelista"/>
        <w:spacing w:line="360" w:lineRule="auto"/>
        <w:jc w:val="both"/>
        <w:rPr>
          <w:rFonts w:ascii="Humanst521 BT" w:hAnsi="Humanst521 BT"/>
        </w:rPr>
      </w:pPr>
    </w:p>
    <w:p w14:paraId="7AF51AF2" w14:textId="66A62F4C" w:rsidR="002A285C" w:rsidRPr="002A285C" w:rsidRDefault="002A285C" w:rsidP="002A285C">
      <w:pPr>
        <w:pStyle w:val="Prrafodelista"/>
        <w:spacing w:line="360" w:lineRule="auto"/>
        <w:jc w:val="both"/>
        <w:rPr>
          <w:rFonts w:ascii="Humanst521 BT" w:hAnsi="Humanst521 BT"/>
        </w:rPr>
      </w:pPr>
      <w:r w:rsidRPr="002A285C">
        <w:rPr>
          <w:rFonts w:ascii="Humanst521 BT" w:hAnsi="Humanst521 BT"/>
        </w:rPr>
        <w:t xml:space="preserve">Formación de un </w:t>
      </w:r>
      <w:r>
        <w:rPr>
          <w:rFonts w:ascii="Humanst521 BT" w:hAnsi="Humanst521 BT"/>
        </w:rPr>
        <w:t>e</w:t>
      </w:r>
      <w:r w:rsidRPr="002A285C">
        <w:rPr>
          <w:rFonts w:ascii="Humanst521 BT" w:hAnsi="Humanst521 BT"/>
        </w:rPr>
        <w:t xml:space="preserve">quipo </w:t>
      </w:r>
      <w:r>
        <w:rPr>
          <w:rFonts w:ascii="Humanst521 BT" w:hAnsi="Humanst521 BT"/>
        </w:rPr>
        <w:t>m</w:t>
      </w:r>
      <w:r w:rsidRPr="002A285C">
        <w:rPr>
          <w:rFonts w:ascii="Humanst521 BT" w:hAnsi="Humanst521 BT"/>
        </w:rPr>
        <w:t>ultidisciplinario: Se constituyó un equipo que incluía colaboradores de diferentes niveles, desde la alta dirección hasta la planta de producción, para asegurar una evaluación integra</w:t>
      </w:r>
      <w:r>
        <w:rPr>
          <w:rFonts w:ascii="Humanst521 BT" w:hAnsi="Humanst521 BT"/>
        </w:rPr>
        <w:t>l.</w:t>
      </w:r>
    </w:p>
    <w:p w14:paraId="2817A017" w14:textId="77777777" w:rsidR="002A285C" w:rsidRPr="002A285C" w:rsidRDefault="002A285C" w:rsidP="002A285C">
      <w:pPr>
        <w:pStyle w:val="Prrafodelista"/>
        <w:spacing w:line="360" w:lineRule="auto"/>
        <w:jc w:val="both"/>
        <w:rPr>
          <w:rFonts w:ascii="Humanst521 BT" w:hAnsi="Humanst521 BT"/>
        </w:rPr>
      </w:pPr>
    </w:p>
    <w:p w14:paraId="2D6554AB" w14:textId="35E9B6E3" w:rsidR="002A285C" w:rsidRPr="002A285C" w:rsidRDefault="002A285C" w:rsidP="002A285C">
      <w:pPr>
        <w:pStyle w:val="Prrafodelista"/>
        <w:spacing w:line="360" w:lineRule="auto"/>
        <w:jc w:val="both"/>
        <w:rPr>
          <w:rFonts w:ascii="Humanst521 BT" w:hAnsi="Humanst521 BT"/>
        </w:rPr>
      </w:pPr>
      <w:r w:rsidRPr="002A285C">
        <w:rPr>
          <w:rFonts w:ascii="Humanst521 BT" w:hAnsi="Humanst521 BT"/>
        </w:rPr>
        <w:t xml:space="preserve">Aplicación del </w:t>
      </w:r>
      <w:r>
        <w:rPr>
          <w:rFonts w:ascii="Humanst521 BT" w:hAnsi="Humanst521 BT"/>
        </w:rPr>
        <w:t>c</w:t>
      </w:r>
      <w:r w:rsidRPr="002A285C">
        <w:rPr>
          <w:rFonts w:ascii="Humanst521 BT" w:hAnsi="Humanst521 BT"/>
        </w:rPr>
        <w:t>uestionario: Se utilizó un cuestionario asociado al modelo de madurez para evaluar el nivel de madurez I4.0 de la empresa, capturando información sobre las dimensiones y subdimensiones del modelo.</w:t>
      </w:r>
    </w:p>
    <w:p w14:paraId="236DF472" w14:textId="77777777" w:rsidR="002A285C" w:rsidRPr="002A285C" w:rsidRDefault="002A285C" w:rsidP="002A285C">
      <w:pPr>
        <w:pStyle w:val="Prrafodelista"/>
        <w:spacing w:line="360" w:lineRule="auto"/>
        <w:jc w:val="both"/>
        <w:rPr>
          <w:rFonts w:ascii="Humanst521 BT" w:hAnsi="Humanst521 BT"/>
        </w:rPr>
      </w:pPr>
    </w:p>
    <w:p w14:paraId="4C478877" w14:textId="7FA3470D" w:rsidR="002A285C" w:rsidRPr="002A285C" w:rsidRDefault="002A285C" w:rsidP="002A285C">
      <w:pPr>
        <w:pStyle w:val="Prrafodelista"/>
        <w:spacing w:line="360" w:lineRule="auto"/>
        <w:jc w:val="both"/>
        <w:rPr>
          <w:rFonts w:ascii="Humanst521 BT" w:hAnsi="Humanst521 BT"/>
        </w:rPr>
      </w:pPr>
      <w:r w:rsidRPr="002A285C">
        <w:rPr>
          <w:rFonts w:ascii="Humanst521 BT" w:hAnsi="Humanst521 BT"/>
        </w:rPr>
        <w:t xml:space="preserve">Análisis de </w:t>
      </w:r>
      <w:r>
        <w:rPr>
          <w:rFonts w:ascii="Humanst521 BT" w:hAnsi="Humanst521 BT"/>
        </w:rPr>
        <w:t>r</w:t>
      </w:r>
      <w:r w:rsidRPr="002A285C">
        <w:rPr>
          <w:rFonts w:ascii="Humanst521 BT" w:hAnsi="Humanst521 BT"/>
        </w:rPr>
        <w:t>esultados: Los resultados se presentaron en gráficos que representaban los niveles de madurez, facilitando la comprensión y comunicación de la situación actual de la empresa.</w:t>
      </w:r>
    </w:p>
    <w:p w14:paraId="6F4B08E8" w14:textId="77777777" w:rsidR="002A285C" w:rsidRPr="002A285C" w:rsidRDefault="002A285C" w:rsidP="002A285C">
      <w:pPr>
        <w:pStyle w:val="Prrafodelista"/>
        <w:spacing w:line="360" w:lineRule="auto"/>
        <w:jc w:val="both"/>
        <w:rPr>
          <w:rFonts w:ascii="Humanst521 BT" w:hAnsi="Humanst521 BT"/>
        </w:rPr>
      </w:pPr>
    </w:p>
    <w:p w14:paraId="5A1C80DB" w14:textId="2127D1C1" w:rsidR="002A285C" w:rsidRPr="00BB3A1E" w:rsidRDefault="002A285C" w:rsidP="002A285C">
      <w:pPr>
        <w:pStyle w:val="Prrafodelista"/>
        <w:spacing w:line="360" w:lineRule="auto"/>
        <w:jc w:val="both"/>
        <w:rPr>
          <w:rFonts w:ascii="Humanst521 BT" w:hAnsi="Humanst521 BT"/>
        </w:rPr>
      </w:pPr>
      <w:r w:rsidRPr="002A285C">
        <w:rPr>
          <w:rFonts w:ascii="Humanst521 BT" w:hAnsi="Humanst521 BT"/>
        </w:rPr>
        <w:t xml:space="preserve">Identificación de </w:t>
      </w:r>
      <w:r>
        <w:rPr>
          <w:rFonts w:ascii="Humanst521 BT" w:hAnsi="Humanst521 BT"/>
        </w:rPr>
        <w:t>á</w:t>
      </w:r>
      <w:r w:rsidRPr="002A285C">
        <w:rPr>
          <w:rFonts w:ascii="Humanst521 BT" w:hAnsi="Humanst521 BT"/>
        </w:rPr>
        <w:t xml:space="preserve">reas de </w:t>
      </w:r>
      <w:r>
        <w:rPr>
          <w:rFonts w:ascii="Humanst521 BT" w:hAnsi="Humanst521 BT"/>
        </w:rPr>
        <w:t>m</w:t>
      </w:r>
      <w:r w:rsidRPr="002A285C">
        <w:rPr>
          <w:rFonts w:ascii="Humanst521 BT" w:hAnsi="Humanst521 BT"/>
        </w:rPr>
        <w:t>ejora: A partir de la evaluación, se identificaron áreas específicas para mejorar la madurez I4.0, permitiendo a la empresa planificar su estrategia de digitalización de manera informada</w:t>
      </w:r>
    </w:p>
    <w:p w14:paraId="2200D76F" w14:textId="77777777" w:rsidR="00CE1B3D" w:rsidRPr="00C06E5A" w:rsidRDefault="00CE1B3D" w:rsidP="00CE1B3D">
      <w:pPr>
        <w:pStyle w:val="Prrafodelista"/>
        <w:spacing w:line="360" w:lineRule="auto"/>
        <w:jc w:val="both"/>
        <w:rPr>
          <w:rFonts w:ascii="Humanst521 BT" w:hAnsi="Humanst521 BT"/>
        </w:rPr>
      </w:pPr>
    </w:p>
    <w:p w14:paraId="11420ED3" w14:textId="77777777" w:rsidR="007C1F1E" w:rsidRPr="00CB5C3D" w:rsidRDefault="007C1F1E" w:rsidP="0059235A">
      <w:pPr>
        <w:pStyle w:val="Prrafodelista"/>
        <w:spacing w:line="360" w:lineRule="auto"/>
        <w:jc w:val="both"/>
        <w:rPr>
          <w:rFonts w:ascii="Humanst521 BT" w:hAnsi="Humanst521 BT"/>
          <w:b/>
          <w:bCs/>
        </w:rPr>
      </w:pPr>
    </w:p>
    <w:p w14:paraId="1ABE13EC" w14:textId="28DB81A9" w:rsidR="00CB5C3D"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t>Gráfico del modelo</w:t>
      </w:r>
    </w:p>
    <w:p w14:paraId="2FFC48FE" w14:textId="48C3FB15" w:rsidR="008A2ABF" w:rsidRDefault="00DF2C84" w:rsidP="0059235A">
      <w:pPr>
        <w:pStyle w:val="Prrafodelista"/>
        <w:spacing w:line="360" w:lineRule="auto"/>
        <w:jc w:val="both"/>
        <w:rPr>
          <w:rFonts w:ascii="Humanst521 BT" w:hAnsi="Humanst521 BT"/>
        </w:rPr>
      </w:pPr>
      <w:r>
        <w:rPr>
          <w:rFonts w:ascii="Humanst521 BT" w:hAnsi="Humanst521 BT"/>
        </w:rPr>
        <w:t xml:space="preserve">Esta representación está inspirada en el trabajo de David Siepmann de 2016 </w:t>
      </w:r>
      <w:r w:rsidR="00F33268" w:rsidRPr="00F33268">
        <w:rPr>
          <w:rFonts w:ascii="Humanst521 BT" w:hAnsi="Humanst521 BT"/>
        </w:rPr>
        <w:t>“Industrie 4.0–Grundlagen und Gesamtzusammenhang”</w:t>
      </w:r>
      <w:r w:rsidR="00664F7F" w:rsidRPr="00664F7F">
        <w:t xml:space="preserve"> </w:t>
      </w:r>
      <w:r w:rsidR="00664F7F" w:rsidRPr="00664F7F">
        <w:rPr>
          <w:rFonts w:ascii="Humanst521 BT" w:hAnsi="Humanst521 BT"/>
        </w:rPr>
        <w:t>], donde en el capítulo 2 de su trabajo, “Komponenten der Industrie 4.0”, el autor propone una metodología para la división I4.0 y presenta un esquema/figura que la representa.</w:t>
      </w:r>
    </w:p>
    <w:p w14:paraId="5D4375F2" w14:textId="77777777" w:rsidR="00A8251B" w:rsidRDefault="00A8251B" w:rsidP="0059235A">
      <w:pPr>
        <w:pStyle w:val="Prrafodelista"/>
        <w:spacing w:line="360" w:lineRule="auto"/>
        <w:jc w:val="both"/>
        <w:rPr>
          <w:rFonts w:ascii="Humanst521 BT" w:hAnsi="Humanst521 BT"/>
        </w:rPr>
      </w:pPr>
    </w:p>
    <w:p w14:paraId="19F1B4EA" w14:textId="59B28702" w:rsidR="00A8251B" w:rsidRDefault="00A8251B" w:rsidP="0059235A">
      <w:pPr>
        <w:pStyle w:val="Prrafodelista"/>
        <w:spacing w:line="360" w:lineRule="auto"/>
        <w:jc w:val="both"/>
        <w:rPr>
          <w:rFonts w:ascii="Humanst521 BT" w:hAnsi="Humanst521 BT"/>
        </w:rPr>
      </w:pPr>
      <w:r w:rsidRPr="00A8251B">
        <w:rPr>
          <w:rFonts w:ascii="Humanst521 BT" w:hAnsi="Humanst521 BT"/>
          <w:noProof/>
        </w:rPr>
        <w:lastRenderedPageBreak/>
        <w:drawing>
          <wp:inline distT="0" distB="0" distL="0" distR="0" wp14:anchorId="30F241E7" wp14:editId="58D6FD27">
            <wp:extent cx="3772426" cy="2734057"/>
            <wp:effectExtent l="0" t="0" r="0" b="9525"/>
            <wp:docPr id="163445729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001972" name=""/>
                    <pic:cNvPicPr/>
                  </pic:nvPicPr>
                  <pic:blipFill>
                    <a:blip r:embed="rId10"/>
                    <a:stretch>
                      <a:fillRect/>
                    </a:stretch>
                  </pic:blipFill>
                  <pic:spPr>
                    <a:xfrm>
                      <a:off x="0" y="0"/>
                      <a:ext cx="3772426" cy="2734057"/>
                    </a:xfrm>
                    <a:prstGeom prst="rect">
                      <a:avLst/>
                    </a:prstGeom>
                  </pic:spPr>
                </pic:pic>
              </a:graphicData>
            </a:graphic>
          </wp:inline>
        </w:drawing>
      </w:r>
    </w:p>
    <w:p w14:paraId="7720C7A2" w14:textId="524741DC" w:rsidR="00A8251B" w:rsidRDefault="00813F41" w:rsidP="0059235A">
      <w:pPr>
        <w:pStyle w:val="Prrafodelista"/>
        <w:spacing w:line="360" w:lineRule="auto"/>
        <w:jc w:val="both"/>
        <w:rPr>
          <w:rFonts w:ascii="Humanst521 BT" w:hAnsi="Humanst521 BT"/>
        </w:rPr>
      </w:pPr>
      <w:r w:rsidRPr="00813F41">
        <w:rPr>
          <w:rFonts w:ascii="Humanst521 BT" w:hAnsi="Humanst521 BT"/>
        </w:rPr>
        <w:t>Este mapeo visual de las dimensiones del modelo propuesto ayuda a aclarar su estructura y la conexión de sus dimensiones centrales. Básicamente hay tres partes principales, cada una relacionada con una de las tres capas propuestas por David Siepmann [47]. El primer nivel está representado en esta figura por “tecnología”, el segundo nivel por “procesos de</w:t>
      </w:r>
      <w:r>
        <w:rPr>
          <w:rFonts w:ascii="Humanst521 BT" w:hAnsi="Humanst521 BT"/>
        </w:rPr>
        <w:t xml:space="preserve"> </w:t>
      </w:r>
      <w:r w:rsidRPr="00813F41">
        <w:rPr>
          <w:rFonts w:ascii="Humanst521 BT" w:hAnsi="Humanst521 BT"/>
        </w:rPr>
        <w:t>producción” y el tercero por “cambio”.</w:t>
      </w:r>
    </w:p>
    <w:p w14:paraId="2E0A78BC" w14:textId="77777777" w:rsidR="00813F41" w:rsidRDefault="00813F41" w:rsidP="0059235A">
      <w:pPr>
        <w:pStyle w:val="Prrafodelista"/>
        <w:spacing w:line="360" w:lineRule="auto"/>
        <w:jc w:val="both"/>
        <w:rPr>
          <w:rFonts w:ascii="Humanst521 BT" w:hAnsi="Humanst521 BT"/>
        </w:rPr>
      </w:pPr>
    </w:p>
    <w:p w14:paraId="4868D59A" w14:textId="19CD3DD2" w:rsidR="00232413" w:rsidRDefault="00232413" w:rsidP="0059235A">
      <w:pPr>
        <w:pStyle w:val="Prrafodelista"/>
        <w:spacing w:line="360" w:lineRule="auto"/>
        <w:jc w:val="both"/>
        <w:rPr>
          <w:rFonts w:ascii="Humanst521 BT" w:hAnsi="Humanst521 BT"/>
        </w:rPr>
      </w:pPr>
      <w:r w:rsidRPr="00232413">
        <w:rPr>
          <w:rFonts w:ascii="Humanst521 BT" w:hAnsi="Humanst521 BT"/>
        </w:rPr>
        <w:t>Para llegar a una estructura como la propuesta en la Figura1, los autores del presente artículo introducen dos mejoras al trabajo de Siepmann</w:t>
      </w:r>
      <w:r w:rsidR="00526701">
        <w:rPr>
          <w:rFonts w:ascii="Humanst521 BT" w:hAnsi="Humanst521 BT"/>
        </w:rPr>
        <w:t>.</w:t>
      </w:r>
      <w:r w:rsidR="00526701" w:rsidRPr="00526701">
        <w:t xml:space="preserve"> </w:t>
      </w:r>
      <w:r w:rsidR="00526701" w:rsidRPr="00342FE4">
        <w:rPr>
          <w:rFonts w:ascii="Humanst521 BT" w:hAnsi="Humanst521 BT"/>
          <w:b/>
          <w:bCs/>
          <w:highlight w:val="cyan"/>
        </w:rPr>
        <w:t>La primera mejora propuesta introduce la dimensión de “personas” por encima de las dimensiones de “procesos de producción” y “tecnología”</w:t>
      </w:r>
      <w:r w:rsidR="00526701" w:rsidRPr="00342FE4">
        <w:rPr>
          <w:rFonts w:ascii="Humanst521 BT" w:hAnsi="Humanst521 BT"/>
          <w:highlight w:val="cyan"/>
        </w:rPr>
        <w:t>.</w:t>
      </w:r>
      <w:r w:rsidR="00526701" w:rsidRPr="00526701">
        <w:rPr>
          <w:rFonts w:ascii="Humanst521 BT" w:hAnsi="Humanst521 BT"/>
        </w:rPr>
        <w:t xml:space="preserve"> Las “personas” no han sido consideradas en el trabajo de Siepmann pero están debidamente alineadas con la teoría del “Triángulo Dorado”, porque cuando se considera tecnología y procesos, las personas son la única pieza que nunca puede ser descuidada</w:t>
      </w:r>
      <w:r w:rsidR="00526701">
        <w:rPr>
          <w:rFonts w:ascii="Humanst521 BT" w:hAnsi="Humanst521 BT"/>
        </w:rPr>
        <w:t>.</w:t>
      </w:r>
      <w:r w:rsidR="00495856" w:rsidRPr="00495856">
        <w:t xml:space="preserve"> </w:t>
      </w:r>
      <w:r w:rsidR="00495856" w:rsidRPr="00342FE4">
        <w:rPr>
          <w:rFonts w:ascii="Humanst521 BT" w:hAnsi="Humanst521 BT"/>
          <w:b/>
          <w:bCs/>
          <w:highlight w:val="cyan"/>
        </w:rPr>
        <w:t>La segunda mejora que viene representada por la introducción de ambas dimensiones laterales de “organización” y “producto inteligente”.</w:t>
      </w:r>
      <w:r w:rsidR="00495856" w:rsidRPr="00495856">
        <w:rPr>
          <w:rFonts w:ascii="Humanst521 BT" w:hAnsi="Humanst521 BT"/>
        </w:rPr>
        <w:t xml:space="preserve"> Ambos se consideran laterales ya que se correlacionan con las tres dimensiones centrales al mismo tiempo. La organización debe ser ortogonal a todas las dimensiones mencionadas (excepto “cambio”), por las razones que se explican a continuación. Por un lado, la dimensión organización es necesaria para evaluar cómo la empresa está controlando sus procesos (KPI), pero</w:t>
      </w:r>
      <w:r w:rsidR="00AC1DC5" w:rsidRPr="00495856">
        <w:rPr>
          <w:rFonts w:ascii="Humanst521 BT" w:hAnsi="Humanst521 BT"/>
        </w:rPr>
        <w:t>,</w:t>
      </w:r>
      <w:r w:rsidR="00495856" w:rsidRPr="00495856">
        <w:rPr>
          <w:rFonts w:ascii="Humanst521 BT" w:hAnsi="Humanst521 BT"/>
        </w:rPr>
        <w:t xml:space="preserve"> por otro lado, también tiene que medir cómo se está coordinando la tecnología y su implementación. Finalmente, es importante valorar cómo están organizados los recursos humanos de la organización, qué tipo de liderazgo se ejerce</w:t>
      </w:r>
      <w:r w:rsidR="00A70552" w:rsidRPr="00495856">
        <w:rPr>
          <w:rFonts w:ascii="Humanst521 BT" w:hAnsi="Humanst521 BT"/>
        </w:rPr>
        <w:t>,</w:t>
      </w:r>
      <w:r w:rsidR="00495856" w:rsidRPr="00495856">
        <w:rPr>
          <w:rFonts w:ascii="Humanst521 BT" w:hAnsi="Humanst521 BT"/>
        </w:rPr>
        <w:t xml:space="preserve"> así como el nivel de autonomía de los trabajadores.</w:t>
      </w:r>
      <w:r w:rsidR="00AC1DC5">
        <w:rPr>
          <w:rFonts w:ascii="Humanst521 BT" w:hAnsi="Humanst521 BT"/>
        </w:rPr>
        <w:t xml:space="preserve"> </w:t>
      </w:r>
      <w:r w:rsidR="00C800C9">
        <w:rPr>
          <w:rFonts w:ascii="Humanst521 BT" w:hAnsi="Humanst521 BT"/>
        </w:rPr>
        <w:t xml:space="preserve"> </w:t>
      </w:r>
    </w:p>
    <w:p w14:paraId="56A2B3E5" w14:textId="77777777" w:rsidR="00C800C9" w:rsidRDefault="00C800C9" w:rsidP="0059235A">
      <w:pPr>
        <w:pStyle w:val="Prrafodelista"/>
        <w:spacing w:line="360" w:lineRule="auto"/>
        <w:jc w:val="both"/>
        <w:rPr>
          <w:rFonts w:ascii="Humanst521 BT" w:hAnsi="Humanst521 BT"/>
        </w:rPr>
      </w:pPr>
    </w:p>
    <w:p w14:paraId="322C68B3" w14:textId="5EA145CF" w:rsidR="00CB5C3D" w:rsidRPr="00B315F0" w:rsidRDefault="00CB5C3D" w:rsidP="0059235A">
      <w:pPr>
        <w:pStyle w:val="Prrafodelista"/>
        <w:numPr>
          <w:ilvl w:val="0"/>
          <w:numId w:val="1"/>
        </w:numPr>
        <w:spacing w:line="360" w:lineRule="auto"/>
        <w:jc w:val="both"/>
        <w:rPr>
          <w:rFonts w:ascii="Humanst521 BT" w:hAnsi="Humanst521 BT"/>
          <w:b/>
          <w:bCs/>
        </w:rPr>
      </w:pPr>
      <w:r w:rsidRPr="00CB5C3D">
        <w:rPr>
          <w:rFonts w:ascii="Humanst521 BT" w:hAnsi="Humanst521 BT"/>
          <w:b/>
          <w:bCs/>
        </w:rPr>
        <w:lastRenderedPageBreak/>
        <w:t>I</w:t>
      </w:r>
      <w:r w:rsidRPr="00B315F0">
        <w:rPr>
          <w:rFonts w:ascii="Humanst521 BT" w:hAnsi="Humanst521 BT"/>
          <w:b/>
          <w:bCs/>
        </w:rPr>
        <w:t>nterpretación de los resultados</w:t>
      </w:r>
    </w:p>
    <w:p w14:paraId="00D2D0ED" w14:textId="53E9F0E9" w:rsidR="00E223B3" w:rsidRDefault="00111FF7" w:rsidP="0059235A">
      <w:pPr>
        <w:pStyle w:val="Prrafodelista"/>
        <w:spacing w:line="360" w:lineRule="auto"/>
        <w:jc w:val="both"/>
        <w:rPr>
          <w:rFonts w:ascii="Humanst521 BT" w:hAnsi="Humanst521 BT"/>
          <w:b/>
          <w:bCs/>
        </w:rPr>
      </w:pPr>
      <w:r w:rsidRPr="004C430F">
        <w:rPr>
          <w:rFonts w:ascii="Humanst521 BT" w:hAnsi="Humanst521 BT"/>
          <w:noProof/>
          <w:color w:val="FF0000"/>
        </w:rPr>
        <w:drawing>
          <wp:inline distT="0" distB="0" distL="0" distR="0" wp14:anchorId="50CBF71B" wp14:editId="7BA8E5DA">
            <wp:extent cx="5612130" cy="2333625"/>
            <wp:effectExtent l="0" t="0" r="7620" b="9525"/>
            <wp:docPr id="1657770717" name="Imagen 1657770717"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770717" name="Imagen 1657770717" descr="Tabla&#10;&#10;Descripción generada automáticamente"/>
                    <pic:cNvPicPr/>
                  </pic:nvPicPr>
                  <pic:blipFill>
                    <a:blip r:embed="rId11"/>
                    <a:stretch>
                      <a:fillRect/>
                    </a:stretch>
                  </pic:blipFill>
                  <pic:spPr>
                    <a:xfrm>
                      <a:off x="0" y="0"/>
                      <a:ext cx="5612130" cy="2333625"/>
                    </a:xfrm>
                    <a:prstGeom prst="rect">
                      <a:avLst/>
                    </a:prstGeom>
                  </pic:spPr>
                </pic:pic>
              </a:graphicData>
            </a:graphic>
          </wp:inline>
        </w:drawing>
      </w:r>
    </w:p>
    <w:p w14:paraId="6C502C83" w14:textId="113AB0F1" w:rsidR="000D4388" w:rsidRPr="000D4388" w:rsidRDefault="000D4388" w:rsidP="0059235A">
      <w:pPr>
        <w:pStyle w:val="Prrafodelista"/>
        <w:spacing w:line="360" w:lineRule="auto"/>
        <w:jc w:val="both"/>
        <w:rPr>
          <w:rFonts w:ascii="Humanst521 BT" w:hAnsi="Humanst521 BT"/>
        </w:rPr>
      </w:pPr>
      <w:r>
        <w:rPr>
          <w:rFonts w:ascii="Humanst521 BT" w:hAnsi="Humanst521 BT"/>
        </w:rPr>
        <w:t>Se atribuye un nivel de madurez a cada subdimensión.</w:t>
      </w:r>
    </w:p>
    <w:p w14:paraId="1C8A2837" w14:textId="77777777" w:rsidR="00E223B3" w:rsidRPr="00CB5C3D" w:rsidRDefault="00E223B3" w:rsidP="0059235A">
      <w:pPr>
        <w:pStyle w:val="Prrafodelista"/>
        <w:spacing w:line="360" w:lineRule="auto"/>
        <w:jc w:val="both"/>
        <w:rPr>
          <w:rFonts w:ascii="Humanst521 BT" w:hAnsi="Humanst521 BT"/>
          <w:b/>
          <w:bCs/>
        </w:rPr>
      </w:pPr>
    </w:p>
    <w:p w14:paraId="1EBFB532" w14:textId="558A76B7" w:rsidR="00711799" w:rsidRDefault="00711799" w:rsidP="0059235A">
      <w:pPr>
        <w:pStyle w:val="Prrafodelista"/>
        <w:spacing w:line="360" w:lineRule="auto"/>
        <w:jc w:val="both"/>
        <w:rPr>
          <w:rFonts w:ascii="Humanst521 BT" w:hAnsi="Humanst521 BT"/>
        </w:rPr>
      </w:pPr>
      <w:r w:rsidRPr="00711799">
        <w:rPr>
          <w:rFonts w:ascii="Humanst521 BT" w:hAnsi="Humanst521 BT"/>
        </w:rPr>
        <w:t>La figura presenta ejemplos de subdimensiones que son parte de las dimensiones más amplias del modelo de madurez I4.0.</w:t>
      </w:r>
    </w:p>
    <w:p w14:paraId="50849E9F" w14:textId="77777777" w:rsidR="000B56E6" w:rsidRDefault="000B56E6" w:rsidP="0059235A">
      <w:pPr>
        <w:pStyle w:val="Prrafodelista"/>
        <w:spacing w:line="360" w:lineRule="auto"/>
        <w:jc w:val="both"/>
        <w:rPr>
          <w:rFonts w:ascii="Humanst521 BT" w:hAnsi="Humanst521 BT"/>
        </w:rPr>
      </w:pPr>
    </w:p>
    <w:p w14:paraId="6A0013F0" w14:textId="0C4FACCA" w:rsidR="00711799" w:rsidRPr="00711799" w:rsidRDefault="000B56E6" w:rsidP="0059235A">
      <w:pPr>
        <w:pStyle w:val="Prrafodelista"/>
        <w:spacing w:line="360" w:lineRule="auto"/>
        <w:jc w:val="both"/>
        <w:rPr>
          <w:rFonts w:ascii="Humanst521 BT" w:hAnsi="Humanst521 BT"/>
        </w:rPr>
      </w:pPr>
      <w:r>
        <w:rPr>
          <w:rFonts w:ascii="Humanst521 BT" w:hAnsi="Humanst521 BT"/>
        </w:rPr>
        <w:t>T</w:t>
      </w:r>
      <w:r w:rsidRPr="000B56E6">
        <w:rPr>
          <w:rFonts w:ascii="Humanst521 BT" w:hAnsi="Humanst521 BT"/>
        </w:rPr>
        <w:t xml:space="preserve">ambién muestra cómo las respuestas a las evaluaciones de madurez se relacionan con los niveles de madurez. Esto implica que, al evaluar cada subdimensión, se pueden identificar los niveles específicos de madurez que la empresa ha alcanzado en esas áreas. Esto es </w:t>
      </w:r>
      <w:r>
        <w:rPr>
          <w:rFonts w:ascii="Humanst521 BT" w:hAnsi="Humanst521 BT"/>
        </w:rPr>
        <w:t>importante</w:t>
      </w:r>
      <w:r w:rsidRPr="000B56E6">
        <w:rPr>
          <w:rFonts w:ascii="Humanst521 BT" w:hAnsi="Humanst521 BT"/>
        </w:rPr>
        <w:t xml:space="preserve"> porque permite a las empresas entender no solo su nivel general de madurez, sino también en qué áreas específicas necesitan mejorar.</w:t>
      </w:r>
    </w:p>
    <w:p w14:paraId="1CB6A4F1" w14:textId="77777777" w:rsidR="008A0148" w:rsidRDefault="008A0148" w:rsidP="0059235A">
      <w:pPr>
        <w:pStyle w:val="Prrafodelista"/>
        <w:spacing w:line="360" w:lineRule="auto"/>
        <w:jc w:val="both"/>
        <w:rPr>
          <w:rFonts w:ascii="Humanst521 BT" w:hAnsi="Humanst521 BT"/>
        </w:rPr>
      </w:pPr>
    </w:p>
    <w:p w14:paraId="790E31ED" w14:textId="6F0A6F23" w:rsidR="008A0148" w:rsidRPr="00711799" w:rsidRDefault="008A0148" w:rsidP="0059235A">
      <w:pPr>
        <w:pStyle w:val="Prrafodelista"/>
        <w:spacing w:line="360" w:lineRule="auto"/>
        <w:jc w:val="both"/>
        <w:rPr>
          <w:rFonts w:ascii="Humanst521 BT" w:hAnsi="Humanst521 BT"/>
        </w:rPr>
      </w:pPr>
      <w:r w:rsidRPr="008A0148">
        <w:rPr>
          <w:rFonts w:ascii="Humanst521 BT" w:hAnsi="Humanst521 BT"/>
        </w:rPr>
        <w:t>Se destaca que, a pesar de que el nivel de madurez general puede ser útil, no es la información más reveladora. En cambio, el análisis de cada componente del sistema (es decir, cada subdimensión) proporciona un entendimiento más preciso de la situación de la empresa.</w:t>
      </w:r>
    </w:p>
    <w:p w14:paraId="2E5F6ACF" w14:textId="77777777" w:rsidR="00711799" w:rsidRPr="00CB5C3D" w:rsidRDefault="00711799" w:rsidP="0059235A">
      <w:pPr>
        <w:pStyle w:val="Prrafodelista"/>
        <w:spacing w:line="360" w:lineRule="auto"/>
        <w:jc w:val="both"/>
        <w:rPr>
          <w:rFonts w:ascii="Humanst521 BT" w:hAnsi="Humanst521 BT"/>
          <w:b/>
          <w:bCs/>
        </w:rPr>
      </w:pPr>
    </w:p>
    <w:p w14:paraId="03CFF621" w14:textId="677DA593" w:rsidR="00CB5C3D" w:rsidRDefault="000F5D0D" w:rsidP="0059235A">
      <w:pPr>
        <w:pStyle w:val="Prrafodelista"/>
        <w:numPr>
          <w:ilvl w:val="0"/>
          <w:numId w:val="1"/>
        </w:numPr>
        <w:spacing w:line="360" w:lineRule="auto"/>
        <w:jc w:val="both"/>
        <w:rPr>
          <w:rFonts w:ascii="Humanst521 BT" w:hAnsi="Humanst521 BT"/>
          <w:b/>
          <w:bCs/>
        </w:rPr>
      </w:pPr>
      <w:r>
        <w:rPr>
          <w:rFonts w:ascii="Humanst521 BT" w:hAnsi="Humanst521 BT"/>
          <w:b/>
          <w:bCs/>
        </w:rPr>
        <w:t>Forma de recolección de la información</w:t>
      </w:r>
    </w:p>
    <w:p w14:paraId="0166DA0E" w14:textId="3F7E74A3" w:rsidR="00E02015" w:rsidRPr="00964898" w:rsidRDefault="00964898" w:rsidP="00E02015">
      <w:pPr>
        <w:pStyle w:val="Prrafodelista"/>
        <w:spacing w:line="360" w:lineRule="auto"/>
        <w:jc w:val="both"/>
        <w:rPr>
          <w:rFonts w:ascii="Humanst521 BT" w:hAnsi="Humanst521 BT"/>
        </w:rPr>
      </w:pPr>
      <w:r>
        <w:rPr>
          <w:rFonts w:ascii="Humanst521 BT" w:hAnsi="Humanst521 BT"/>
        </w:rPr>
        <w:t>Método cuantitativo: se aplicaron cuestionarios para medir el nivel de madurez</w:t>
      </w:r>
      <w:r w:rsidR="00E367D7">
        <w:rPr>
          <w:rFonts w:ascii="Humanst521 BT" w:hAnsi="Humanst521 BT"/>
        </w:rPr>
        <w:t xml:space="preserve"> I4.0 de la empresa. Con el fin de </w:t>
      </w:r>
      <w:r w:rsidR="00E367D7" w:rsidRPr="0011035C">
        <w:rPr>
          <w:rFonts w:ascii="Humanst521 BT" w:hAnsi="Humanst521 BT"/>
        </w:rPr>
        <w:t>obtener una visión integral de la situación de la empresa en relación con los criterios del modelo de madurez propuesto</w:t>
      </w:r>
    </w:p>
    <w:p w14:paraId="44713CC1" w14:textId="5709702D" w:rsidR="000F5D0D" w:rsidRDefault="00E02015" w:rsidP="0059235A">
      <w:pPr>
        <w:pStyle w:val="Prrafodelista"/>
        <w:numPr>
          <w:ilvl w:val="0"/>
          <w:numId w:val="1"/>
        </w:numPr>
        <w:spacing w:line="360" w:lineRule="auto"/>
        <w:jc w:val="both"/>
        <w:rPr>
          <w:rFonts w:ascii="Humanst521 BT" w:hAnsi="Humanst521 BT"/>
          <w:b/>
          <w:bCs/>
        </w:rPr>
      </w:pPr>
      <w:r>
        <w:rPr>
          <w:rFonts w:ascii="Humanst521 BT" w:hAnsi="Humanst521 BT"/>
          <w:b/>
          <w:bCs/>
        </w:rPr>
        <w:t>Alcance de la evaluación del modelo en el artículo</w:t>
      </w:r>
    </w:p>
    <w:p w14:paraId="3773BB3B" w14:textId="0E70BFF3" w:rsidR="00E02015" w:rsidRDefault="00E02015" w:rsidP="00E02015">
      <w:pPr>
        <w:pStyle w:val="Prrafodelista"/>
        <w:spacing w:line="360" w:lineRule="auto"/>
        <w:jc w:val="both"/>
        <w:rPr>
          <w:rFonts w:ascii="Humanst521 BT" w:hAnsi="Humanst521 BT"/>
        </w:rPr>
      </w:pPr>
      <w:r>
        <w:rPr>
          <w:rFonts w:ascii="Humanst521 BT" w:hAnsi="Humanst521 BT"/>
        </w:rPr>
        <w:t>Modelo</w:t>
      </w:r>
    </w:p>
    <w:p w14:paraId="5C53ACB6" w14:textId="159DF77A" w:rsidR="00E02015" w:rsidRDefault="00E02015" w:rsidP="00E02015">
      <w:pPr>
        <w:pStyle w:val="Prrafodelista"/>
        <w:spacing w:line="360" w:lineRule="auto"/>
        <w:jc w:val="both"/>
        <w:rPr>
          <w:rFonts w:ascii="Humanst521 BT" w:hAnsi="Humanst521 BT"/>
        </w:rPr>
      </w:pPr>
      <w:r>
        <w:rPr>
          <w:rFonts w:ascii="Humanst521 BT" w:hAnsi="Humanst521 BT"/>
        </w:rPr>
        <w:t>Modelo e implementación</w:t>
      </w:r>
    </w:p>
    <w:p w14:paraId="6FD144A0" w14:textId="03408D49" w:rsidR="00E02015" w:rsidRDefault="00E02015" w:rsidP="00E02015">
      <w:pPr>
        <w:pStyle w:val="Prrafodelista"/>
        <w:spacing w:line="360" w:lineRule="auto"/>
        <w:jc w:val="both"/>
        <w:rPr>
          <w:rFonts w:ascii="Humanst521 BT" w:hAnsi="Humanst521 BT"/>
        </w:rPr>
      </w:pPr>
      <w:r>
        <w:rPr>
          <w:rFonts w:ascii="Humanst521 BT" w:hAnsi="Humanst521 BT"/>
        </w:rPr>
        <w:lastRenderedPageBreak/>
        <w:t>Modelo, implementación y testeo (ponderación de factores)</w:t>
      </w:r>
    </w:p>
    <w:p w14:paraId="2A9C802A" w14:textId="116A149F" w:rsidR="00CB5C3D" w:rsidRPr="00E74D65" w:rsidRDefault="00E02015" w:rsidP="00E74D65">
      <w:pPr>
        <w:pStyle w:val="Prrafodelista"/>
        <w:spacing w:line="360" w:lineRule="auto"/>
        <w:jc w:val="both"/>
        <w:rPr>
          <w:rFonts w:ascii="Humanst521 BT" w:hAnsi="Humanst521 BT"/>
        </w:rPr>
      </w:pPr>
      <w:r>
        <w:rPr>
          <w:rFonts w:ascii="Humanst521 BT" w:hAnsi="Humanst521 BT"/>
        </w:rPr>
        <w:t>Modelo, implementación, testeo y evaluación: X</w:t>
      </w:r>
    </w:p>
    <w:p w14:paraId="15EBE705" w14:textId="0E26048C" w:rsidR="00B3419E" w:rsidRDefault="004A2B40" w:rsidP="0059235A">
      <w:pPr>
        <w:pStyle w:val="Prrafodelista"/>
        <w:spacing w:line="360" w:lineRule="auto"/>
        <w:jc w:val="both"/>
        <w:rPr>
          <w:rFonts w:ascii="Humanst521 BT" w:hAnsi="Humanst521 BT"/>
        </w:rPr>
      </w:pPr>
      <w:r>
        <w:rPr>
          <w:rFonts w:ascii="Humanst521 BT" w:hAnsi="Humanst521 BT"/>
          <w:noProof/>
        </w:rPr>
        <mc:AlternateContent>
          <mc:Choice Requires="wps">
            <w:drawing>
              <wp:anchor distT="0" distB="0" distL="114300" distR="114300" simplePos="0" relativeHeight="251658240" behindDoc="0" locked="0" layoutInCell="1" allowOverlap="1" wp14:anchorId="63892555" wp14:editId="1A71BE84">
                <wp:simplePos x="0" y="0"/>
                <wp:positionH relativeFrom="column">
                  <wp:posOffset>339090</wp:posOffset>
                </wp:positionH>
                <wp:positionV relativeFrom="paragraph">
                  <wp:posOffset>184785</wp:posOffset>
                </wp:positionV>
                <wp:extent cx="5353050" cy="1857375"/>
                <wp:effectExtent l="0" t="0" r="19050" b="28575"/>
                <wp:wrapNone/>
                <wp:docPr id="417623947" name="Cuadro de texto 3"/>
                <wp:cNvGraphicFramePr/>
                <a:graphic xmlns:a="http://schemas.openxmlformats.org/drawingml/2006/main">
                  <a:graphicData uri="http://schemas.microsoft.com/office/word/2010/wordprocessingShape">
                    <wps:wsp>
                      <wps:cNvSpPr txBox="1"/>
                      <wps:spPr>
                        <a:xfrm>
                          <a:off x="0" y="0"/>
                          <a:ext cx="5353050" cy="1857375"/>
                        </a:xfrm>
                        <a:prstGeom prst="rect">
                          <a:avLst/>
                        </a:prstGeom>
                        <a:solidFill>
                          <a:schemeClr val="lt1"/>
                        </a:solidFill>
                        <a:ln w="19050">
                          <a:solidFill>
                            <a:srgbClr val="FF0000"/>
                          </a:solidFill>
                        </a:ln>
                      </wps:spPr>
                      <wps:txbx>
                        <w:txbxContent>
                          <w:p w14:paraId="51EBF604" w14:textId="77777777" w:rsidR="009268FB" w:rsidRDefault="009268FB" w:rsidP="001A44DE">
                            <w:pPr>
                              <w:jc w:val="both"/>
                              <w:rPr>
                                <w:rFonts w:ascii="Humanst521 BT" w:hAnsi="Humanst521 BT"/>
                                <w:b/>
                                <w:bCs/>
                              </w:rPr>
                            </w:pPr>
                            <w:r>
                              <w:rPr>
                                <w:rFonts w:ascii="Humanst521 BT" w:hAnsi="Humanst521 BT"/>
                                <w:b/>
                                <w:bCs/>
                              </w:rPr>
                              <w:t>INFORMACIÓN IMPORTANTE DEL ARTÍCULO</w:t>
                            </w:r>
                          </w:p>
                          <w:p w14:paraId="6A0948D2" w14:textId="3C77906A" w:rsidR="004A2B40" w:rsidRPr="001A44DE" w:rsidRDefault="004A2B40" w:rsidP="001A44DE">
                            <w:pPr>
                              <w:jc w:val="both"/>
                              <w:rPr>
                                <w:rFonts w:ascii="Humanst521 BT" w:hAnsi="Humanst521 BT"/>
                              </w:rPr>
                            </w:pPr>
                            <w:r w:rsidRPr="001A44DE">
                              <w:rPr>
                                <w:rFonts w:ascii="Humanst521 BT" w:hAnsi="Humanst521 BT"/>
                                <w:b/>
                                <w:bCs/>
                              </w:rPr>
                              <w:t>Niveles:</w:t>
                            </w:r>
                            <w:r w:rsidRPr="001A44DE">
                              <w:rPr>
                                <w:rFonts w:ascii="Humanst521 BT" w:hAnsi="Humanst521 BT"/>
                              </w:rPr>
                              <w:t xml:space="preserve"> Son la cantidad de pasos o etapas por los que la empresa necesita avanzar antes de una implementación completa de I4.0</w:t>
                            </w:r>
                          </w:p>
                          <w:p w14:paraId="64ABD46C" w14:textId="77777777" w:rsidR="004A2B40" w:rsidRPr="001A44DE" w:rsidRDefault="004A2B40" w:rsidP="001A44DE">
                            <w:pPr>
                              <w:jc w:val="both"/>
                              <w:rPr>
                                <w:rFonts w:ascii="Humanst521 BT" w:hAnsi="Humanst521 BT"/>
                              </w:rPr>
                            </w:pPr>
                            <w:r w:rsidRPr="001A44DE">
                              <w:rPr>
                                <w:rFonts w:ascii="Humanst521 BT" w:hAnsi="Humanst521 BT"/>
                                <w:b/>
                                <w:bCs/>
                              </w:rPr>
                              <w:t>Atributos del modelo:</w:t>
                            </w:r>
                            <w:r w:rsidRPr="001A44DE">
                              <w:rPr>
                                <w:rFonts w:ascii="Humanst521 BT" w:hAnsi="Humanst521 BT"/>
                              </w:rPr>
                              <w:t xml:space="preserve"> descomponen el modelo de madurez en secciones fáciles y comprensibles, como dimensiones o subdimensiones.</w:t>
                            </w:r>
                          </w:p>
                          <w:p w14:paraId="588FF5D2" w14:textId="77777777" w:rsidR="004A2B40" w:rsidRPr="001A44DE" w:rsidRDefault="004A2B40" w:rsidP="001A44DE">
                            <w:pPr>
                              <w:jc w:val="both"/>
                              <w:rPr>
                                <w:rFonts w:ascii="Humanst521 BT" w:hAnsi="Humanst521 BT"/>
                              </w:rPr>
                            </w:pPr>
                            <w:r w:rsidRPr="001A44DE">
                              <w:rPr>
                                <w:rFonts w:ascii="Humanst521 BT" w:hAnsi="Humanst521 BT"/>
                                <w:b/>
                                <w:bCs/>
                              </w:rPr>
                              <w:t>Dimensiones:</w:t>
                            </w:r>
                            <w:r w:rsidRPr="001A44DE">
                              <w:rPr>
                                <w:rFonts w:ascii="Humanst521 BT" w:hAnsi="Humanst521 BT"/>
                              </w:rPr>
                              <w:t xml:space="preserve"> número de áreas dentro de una empresa relacionadas con cualquiera de los conceptos que el modelo esté considerando, como organización, tecnología, producto, operaciones, cadena de suministro, etc.</w:t>
                            </w:r>
                          </w:p>
                          <w:p w14:paraId="42048C06" w14:textId="77777777" w:rsidR="004A2B40" w:rsidRDefault="004A2B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892555" id="_x0000_t202" coordsize="21600,21600" o:spt="202" path="m,l,21600r21600,l21600,xe">
                <v:stroke joinstyle="miter"/>
                <v:path gradientshapeok="t" o:connecttype="rect"/>
              </v:shapetype>
              <v:shape id="Cuadro de texto 3" o:spid="_x0000_s1026" type="#_x0000_t202" style="position:absolute;left:0;text-align:left;margin-left:26.7pt;margin-top:14.55pt;width:421.5pt;height:14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" fillcolor="white [3201]" strokecolor="red" strokeweight="1.5pt">
                <v:textbox>
                  <w:txbxContent>
                    <w:p w14:paraId="51EBF604" w14:textId="77777777" w:rsidR="009268FB" w:rsidRDefault="009268FB" w:rsidP="001A44DE">
                      <w:pPr>
                        <w:jc w:val="both"/>
                        <w:rPr>
                          <w:rFonts w:ascii="Humanst521 BT" w:hAnsi="Humanst521 BT"/>
                          <w:b/>
                          <w:bCs/>
                        </w:rPr>
                      </w:pPr>
                      <w:r>
                        <w:rPr>
                          <w:rFonts w:ascii="Humanst521 BT" w:hAnsi="Humanst521 BT"/>
                          <w:b/>
                          <w:bCs/>
                        </w:rPr>
                        <w:t>INFORMACIÓN IMPORTANTE DEL ARTÍCULO</w:t>
                      </w:r>
                    </w:p>
                    <w:p w14:paraId="6A0948D2" w14:textId="3C77906A" w:rsidR="004A2B40" w:rsidRPr="001A44DE" w:rsidRDefault="004A2B40" w:rsidP="001A44DE">
                      <w:pPr>
                        <w:jc w:val="both"/>
                        <w:rPr>
                          <w:rFonts w:ascii="Humanst521 BT" w:hAnsi="Humanst521 BT"/>
                        </w:rPr>
                      </w:pPr>
                      <w:r w:rsidRPr="001A44DE">
                        <w:rPr>
                          <w:rFonts w:ascii="Humanst521 BT" w:hAnsi="Humanst521 BT"/>
                          <w:b/>
                          <w:bCs/>
                        </w:rPr>
                        <w:t>Niveles:</w:t>
                      </w:r>
                      <w:r w:rsidRPr="001A44DE">
                        <w:rPr>
                          <w:rFonts w:ascii="Humanst521 BT" w:hAnsi="Humanst521 BT"/>
                        </w:rPr>
                        <w:t xml:space="preserve"> Son la cantidad de pasos o etapas por los que la empresa necesita avanzar antes de una implementación completa de I4.0</w:t>
                      </w:r>
                    </w:p>
                    <w:p w14:paraId="64ABD46C" w14:textId="77777777" w:rsidR="004A2B40" w:rsidRPr="001A44DE" w:rsidRDefault="004A2B40" w:rsidP="001A44DE">
                      <w:pPr>
                        <w:jc w:val="both"/>
                        <w:rPr>
                          <w:rFonts w:ascii="Humanst521 BT" w:hAnsi="Humanst521 BT"/>
                        </w:rPr>
                      </w:pPr>
                      <w:r w:rsidRPr="001A44DE">
                        <w:rPr>
                          <w:rFonts w:ascii="Humanst521 BT" w:hAnsi="Humanst521 BT"/>
                          <w:b/>
                          <w:bCs/>
                        </w:rPr>
                        <w:t>Atributos del modelo:</w:t>
                      </w:r>
                      <w:r w:rsidRPr="001A44DE">
                        <w:rPr>
                          <w:rFonts w:ascii="Humanst521 BT" w:hAnsi="Humanst521 BT"/>
                        </w:rPr>
                        <w:t xml:space="preserve"> descomponen el modelo de madurez en secciones fáciles y comprensibles, como dimensiones o subdimensiones.</w:t>
                      </w:r>
                    </w:p>
                    <w:p w14:paraId="588FF5D2" w14:textId="77777777" w:rsidR="004A2B40" w:rsidRPr="001A44DE" w:rsidRDefault="004A2B40" w:rsidP="001A44DE">
                      <w:pPr>
                        <w:jc w:val="both"/>
                        <w:rPr>
                          <w:rFonts w:ascii="Humanst521 BT" w:hAnsi="Humanst521 BT"/>
                        </w:rPr>
                      </w:pPr>
                      <w:r w:rsidRPr="001A44DE">
                        <w:rPr>
                          <w:rFonts w:ascii="Humanst521 BT" w:hAnsi="Humanst521 BT"/>
                          <w:b/>
                          <w:bCs/>
                        </w:rPr>
                        <w:t>Dimensiones:</w:t>
                      </w:r>
                      <w:r w:rsidRPr="001A44DE">
                        <w:rPr>
                          <w:rFonts w:ascii="Humanst521 BT" w:hAnsi="Humanst521 BT"/>
                        </w:rPr>
                        <w:t xml:space="preserve"> número de áreas dentro de una empresa relacionadas con cualquiera de los conceptos que el modelo esté considerando, como organización, tecnología, producto, operaciones, cadena de suministro, etc.</w:t>
                      </w:r>
                    </w:p>
                    <w:p w14:paraId="42048C06" w14:textId="77777777" w:rsidR="004A2B40" w:rsidRDefault="004A2B40"/>
                  </w:txbxContent>
                </v:textbox>
              </v:shape>
            </w:pict>
          </mc:Fallback>
        </mc:AlternateContent>
      </w:r>
    </w:p>
    <w:p w14:paraId="28E11D20" w14:textId="3467DAB9" w:rsidR="00B3419E" w:rsidRDefault="00B3419E" w:rsidP="0059235A">
      <w:pPr>
        <w:spacing w:line="360" w:lineRule="auto"/>
        <w:jc w:val="both"/>
        <w:rPr>
          <w:rFonts w:ascii="Humanst521 BT" w:hAnsi="Humanst521 BT"/>
        </w:rPr>
      </w:pPr>
    </w:p>
    <w:p w14:paraId="7D178020" w14:textId="77777777" w:rsidR="00CE1B3D" w:rsidRDefault="00CE1B3D" w:rsidP="0059235A">
      <w:pPr>
        <w:spacing w:line="360" w:lineRule="auto"/>
        <w:jc w:val="both"/>
        <w:rPr>
          <w:rFonts w:ascii="Humanst521 BT" w:hAnsi="Humanst521 BT"/>
        </w:rPr>
      </w:pPr>
    </w:p>
    <w:p w14:paraId="23C1CC52" w14:textId="77777777" w:rsidR="00CE1B3D" w:rsidRDefault="00CE1B3D" w:rsidP="0059235A">
      <w:pPr>
        <w:spacing w:line="360" w:lineRule="auto"/>
        <w:jc w:val="both"/>
        <w:rPr>
          <w:rFonts w:ascii="Humanst521 BT" w:hAnsi="Humanst521 BT"/>
        </w:rPr>
      </w:pPr>
    </w:p>
    <w:p w14:paraId="08048343" w14:textId="77777777" w:rsidR="00CE1B3D" w:rsidRDefault="00CE1B3D" w:rsidP="0059235A">
      <w:pPr>
        <w:spacing w:line="360" w:lineRule="auto"/>
        <w:jc w:val="both"/>
        <w:rPr>
          <w:rFonts w:ascii="Humanst521 BT" w:hAnsi="Humanst521 BT"/>
        </w:rPr>
      </w:pPr>
    </w:p>
    <w:p w14:paraId="2E011BA5" w14:textId="77777777" w:rsidR="00CE1B3D" w:rsidRDefault="00CE1B3D" w:rsidP="0059235A">
      <w:pPr>
        <w:spacing w:line="360" w:lineRule="auto"/>
        <w:jc w:val="both"/>
        <w:rPr>
          <w:rFonts w:ascii="Humanst521 BT" w:hAnsi="Humanst521 BT"/>
        </w:rPr>
      </w:pPr>
    </w:p>
    <w:p w14:paraId="1E5C9C41" w14:textId="77777777" w:rsidR="00CE1B3D" w:rsidRDefault="00CE1B3D" w:rsidP="0059235A">
      <w:pPr>
        <w:spacing w:line="360" w:lineRule="auto"/>
        <w:jc w:val="both"/>
        <w:rPr>
          <w:rFonts w:ascii="Humanst521 BT" w:hAnsi="Humanst521 BT"/>
        </w:rPr>
      </w:pPr>
    </w:p>
    <w:p w14:paraId="65D653DD" w14:textId="77777777" w:rsidR="00CE1B3D" w:rsidRPr="009268FB" w:rsidRDefault="00CE1B3D" w:rsidP="0059235A">
      <w:pPr>
        <w:spacing w:line="360" w:lineRule="auto"/>
        <w:jc w:val="both"/>
        <w:rPr>
          <w:rFonts w:ascii="Humanst521 BT" w:hAnsi="Humanst521 BT"/>
        </w:rPr>
      </w:pPr>
    </w:p>
    <w:sectPr w:rsidR="00CE1B3D" w:rsidRPr="009268FB">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GHERALDINE AVILA" w:date="2024-07-25T18:39:00Z" w:initials="GA">
    <w:p w14:paraId="0737F5C7" w14:textId="77777777" w:rsidR="008247AF" w:rsidRDefault="008247AF" w:rsidP="008247AF">
      <w:pPr>
        <w:pStyle w:val="Textocomentario"/>
      </w:pPr>
      <w:r>
        <w:rPr>
          <w:rStyle w:val="Refdecomentario"/>
        </w:rPr>
        <w:annotationRef/>
      </w:r>
      <w:r>
        <w:t>Es una métrica cuantitativa que muestra cómo tu equipo o empresa progresa hacia tus objetivos empresariales más importantes.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737F5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638274F" w16cex:dateUtc="2024-07-25T2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37F5C7" w16cid:durableId="1638274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umanst521 BT">
    <w:panose1 w:val="020B0602020204020204"/>
    <w:charset w:val="00"/>
    <w:family w:val="swiss"/>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E06B8E"/>
    <w:multiLevelType w:val="hybridMultilevel"/>
    <w:tmpl w:val="BE7E84AC"/>
    <w:lvl w:ilvl="0" w:tplc="F8184B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21869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HERALDINE AVILA">
    <w15:presenceInfo w15:providerId="AD" w15:userId="S::gheraldine2202220@correo.uis.edu.co::40327c7d-0810-4e8f-9375-e7bfb9643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C3D"/>
    <w:rsid w:val="0003117A"/>
    <w:rsid w:val="0004002D"/>
    <w:rsid w:val="000477CF"/>
    <w:rsid w:val="000722ED"/>
    <w:rsid w:val="00076257"/>
    <w:rsid w:val="00077954"/>
    <w:rsid w:val="00097113"/>
    <w:rsid w:val="00097C64"/>
    <w:rsid w:val="000A2FEC"/>
    <w:rsid w:val="000B2462"/>
    <w:rsid w:val="000B56E6"/>
    <w:rsid w:val="000D163B"/>
    <w:rsid w:val="000D2A77"/>
    <w:rsid w:val="000D4388"/>
    <w:rsid w:val="000E505D"/>
    <w:rsid w:val="000F32CF"/>
    <w:rsid w:val="000F33ED"/>
    <w:rsid w:val="000F3C17"/>
    <w:rsid w:val="000F5D0D"/>
    <w:rsid w:val="0011035C"/>
    <w:rsid w:val="00111FF7"/>
    <w:rsid w:val="00140A1F"/>
    <w:rsid w:val="00147862"/>
    <w:rsid w:val="0015210F"/>
    <w:rsid w:val="001529C0"/>
    <w:rsid w:val="0016465D"/>
    <w:rsid w:val="00184865"/>
    <w:rsid w:val="00196F8F"/>
    <w:rsid w:val="001A44DE"/>
    <w:rsid w:val="001B0827"/>
    <w:rsid w:val="001C3C19"/>
    <w:rsid w:val="001D36A6"/>
    <w:rsid w:val="001D7209"/>
    <w:rsid w:val="001E3593"/>
    <w:rsid w:val="001F1E31"/>
    <w:rsid w:val="001F5F7F"/>
    <w:rsid w:val="00222344"/>
    <w:rsid w:val="0022451C"/>
    <w:rsid w:val="00232413"/>
    <w:rsid w:val="00234245"/>
    <w:rsid w:val="00247061"/>
    <w:rsid w:val="00255400"/>
    <w:rsid w:val="00260D64"/>
    <w:rsid w:val="00261410"/>
    <w:rsid w:val="002647CA"/>
    <w:rsid w:val="00271A3B"/>
    <w:rsid w:val="00281402"/>
    <w:rsid w:val="00295530"/>
    <w:rsid w:val="002A285C"/>
    <w:rsid w:val="002F1D64"/>
    <w:rsid w:val="002F2A81"/>
    <w:rsid w:val="002F3610"/>
    <w:rsid w:val="003039CC"/>
    <w:rsid w:val="00305A63"/>
    <w:rsid w:val="0031001C"/>
    <w:rsid w:val="003315C9"/>
    <w:rsid w:val="00334167"/>
    <w:rsid w:val="00340860"/>
    <w:rsid w:val="00342FE4"/>
    <w:rsid w:val="0035677C"/>
    <w:rsid w:val="00356C05"/>
    <w:rsid w:val="00362F52"/>
    <w:rsid w:val="003725F2"/>
    <w:rsid w:val="003928DB"/>
    <w:rsid w:val="003B490E"/>
    <w:rsid w:val="003C0089"/>
    <w:rsid w:val="003C26E2"/>
    <w:rsid w:val="003D3E19"/>
    <w:rsid w:val="003D6FBC"/>
    <w:rsid w:val="003F6945"/>
    <w:rsid w:val="00421B40"/>
    <w:rsid w:val="004269F8"/>
    <w:rsid w:val="00431231"/>
    <w:rsid w:val="00444475"/>
    <w:rsid w:val="004675A1"/>
    <w:rsid w:val="00467673"/>
    <w:rsid w:val="004878A5"/>
    <w:rsid w:val="00495856"/>
    <w:rsid w:val="004A2B40"/>
    <w:rsid w:val="004A307A"/>
    <w:rsid w:val="004A37C6"/>
    <w:rsid w:val="004C430F"/>
    <w:rsid w:val="004E6C9B"/>
    <w:rsid w:val="00510BEB"/>
    <w:rsid w:val="00526701"/>
    <w:rsid w:val="00526BF6"/>
    <w:rsid w:val="005340A9"/>
    <w:rsid w:val="0054315A"/>
    <w:rsid w:val="00543B55"/>
    <w:rsid w:val="00554549"/>
    <w:rsid w:val="00565F4D"/>
    <w:rsid w:val="005725DD"/>
    <w:rsid w:val="0057744C"/>
    <w:rsid w:val="005825A6"/>
    <w:rsid w:val="00591BF2"/>
    <w:rsid w:val="0059235A"/>
    <w:rsid w:val="005A543B"/>
    <w:rsid w:val="005B217C"/>
    <w:rsid w:val="005B5CAF"/>
    <w:rsid w:val="005E0131"/>
    <w:rsid w:val="00637A05"/>
    <w:rsid w:val="00640106"/>
    <w:rsid w:val="0065206B"/>
    <w:rsid w:val="00664F7F"/>
    <w:rsid w:val="0068582C"/>
    <w:rsid w:val="00690A43"/>
    <w:rsid w:val="006A6A3D"/>
    <w:rsid w:val="006C26A6"/>
    <w:rsid w:val="006C626C"/>
    <w:rsid w:val="006E3594"/>
    <w:rsid w:val="00711799"/>
    <w:rsid w:val="007167D6"/>
    <w:rsid w:val="007261B6"/>
    <w:rsid w:val="007326CF"/>
    <w:rsid w:val="00740684"/>
    <w:rsid w:val="00741070"/>
    <w:rsid w:val="00761640"/>
    <w:rsid w:val="007714F8"/>
    <w:rsid w:val="00786F82"/>
    <w:rsid w:val="00793D23"/>
    <w:rsid w:val="007A0D47"/>
    <w:rsid w:val="007C1F1E"/>
    <w:rsid w:val="007E456A"/>
    <w:rsid w:val="00813F41"/>
    <w:rsid w:val="008247AF"/>
    <w:rsid w:val="008426DD"/>
    <w:rsid w:val="008514CE"/>
    <w:rsid w:val="00861D32"/>
    <w:rsid w:val="00892860"/>
    <w:rsid w:val="008A0148"/>
    <w:rsid w:val="008A2ABF"/>
    <w:rsid w:val="008A7AF5"/>
    <w:rsid w:val="008C2C90"/>
    <w:rsid w:val="008C5ECF"/>
    <w:rsid w:val="008D0F93"/>
    <w:rsid w:val="008E3A6B"/>
    <w:rsid w:val="008E5050"/>
    <w:rsid w:val="0090033A"/>
    <w:rsid w:val="009017E6"/>
    <w:rsid w:val="00905684"/>
    <w:rsid w:val="009268FB"/>
    <w:rsid w:val="009367B0"/>
    <w:rsid w:val="00942234"/>
    <w:rsid w:val="00945A75"/>
    <w:rsid w:val="00946383"/>
    <w:rsid w:val="00946546"/>
    <w:rsid w:val="00964898"/>
    <w:rsid w:val="00986298"/>
    <w:rsid w:val="00992429"/>
    <w:rsid w:val="009A19BF"/>
    <w:rsid w:val="009A4AFE"/>
    <w:rsid w:val="009B0B6A"/>
    <w:rsid w:val="009B1473"/>
    <w:rsid w:val="009D2A68"/>
    <w:rsid w:val="009D7A39"/>
    <w:rsid w:val="00A020A2"/>
    <w:rsid w:val="00A02EA3"/>
    <w:rsid w:val="00A21EFB"/>
    <w:rsid w:val="00A369D6"/>
    <w:rsid w:val="00A374A6"/>
    <w:rsid w:val="00A42B49"/>
    <w:rsid w:val="00A43955"/>
    <w:rsid w:val="00A70002"/>
    <w:rsid w:val="00A70552"/>
    <w:rsid w:val="00A767DD"/>
    <w:rsid w:val="00A81AD7"/>
    <w:rsid w:val="00A81F9F"/>
    <w:rsid w:val="00A8251B"/>
    <w:rsid w:val="00A83248"/>
    <w:rsid w:val="00A87C48"/>
    <w:rsid w:val="00AA30F2"/>
    <w:rsid w:val="00AB585E"/>
    <w:rsid w:val="00AB5B87"/>
    <w:rsid w:val="00AB62C2"/>
    <w:rsid w:val="00AC1DC5"/>
    <w:rsid w:val="00AC2840"/>
    <w:rsid w:val="00AD54B1"/>
    <w:rsid w:val="00AD5B40"/>
    <w:rsid w:val="00AD78EE"/>
    <w:rsid w:val="00B0198F"/>
    <w:rsid w:val="00B1556C"/>
    <w:rsid w:val="00B265D6"/>
    <w:rsid w:val="00B315F0"/>
    <w:rsid w:val="00B3419E"/>
    <w:rsid w:val="00B419E4"/>
    <w:rsid w:val="00B4726F"/>
    <w:rsid w:val="00B70455"/>
    <w:rsid w:val="00B71CCB"/>
    <w:rsid w:val="00B87D46"/>
    <w:rsid w:val="00B95D01"/>
    <w:rsid w:val="00BA1DFF"/>
    <w:rsid w:val="00BB3A1E"/>
    <w:rsid w:val="00BD4641"/>
    <w:rsid w:val="00BE63ED"/>
    <w:rsid w:val="00C022EE"/>
    <w:rsid w:val="00C03FB2"/>
    <w:rsid w:val="00C06E5A"/>
    <w:rsid w:val="00C1044E"/>
    <w:rsid w:val="00C15567"/>
    <w:rsid w:val="00C20115"/>
    <w:rsid w:val="00C22841"/>
    <w:rsid w:val="00C27761"/>
    <w:rsid w:val="00C800C9"/>
    <w:rsid w:val="00C94358"/>
    <w:rsid w:val="00C94DA1"/>
    <w:rsid w:val="00CB5C3D"/>
    <w:rsid w:val="00CB5EFE"/>
    <w:rsid w:val="00CC3493"/>
    <w:rsid w:val="00CD0F6F"/>
    <w:rsid w:val="00CD74C0"/>
    <w:rsid w:val="00CE1B3D"/>
    <w:rsid w:val="00CE36FD"/>
    <w:rsid w:val="00D0159F"/>
    <w:rsid w:val="00D05290"/>
    <w:rsid w:val="00D3675E"/>
    <w:rsid w:val="00D47FBD"/>
    <w:rsid w:val="00D516C6"/>
    <w:rsid w:val="00D54FA4"/>
    <w:rsid w:val="00DB1316"/>
    <w:rsid w:val="00DE47D4"/>
    <w:rsid w:val="00DF2C84"/>
    <w:rsid w:val="00DF410B"/>
    <w:rsid w:val="00DF6C54"/>
    <w:rsid w:val="00E02015"/>
    <w:rsid w:val="00E174AF"/>
    <w:rsid w:val="00E223B3"/>
    <w:rsid w:val="00E367D7"/>
    <w:rsid w:val="00E63A65"/>
    <w:rsid w:val="00E74D65"/>
    <w:rsid w:val="00E804D0"/>
    <w:rsid w:val="00EA011B"/>
    <w:rsid w:val="00EA3916"/>
    <w:rsid w:val="00EA6E1A"/>
    <w:rsid w:val="00EF6F3F"/>
    <w:rsid w:val="00F04AC1"/>
    <w:rsid w:val="00F25090"/>
    <w:rsid w:val="00F26BC5"/>
    <w:rsid w:val="00F33268"/>
    <w:rsid w:val="00F41A06"/>
    <w:rsid w:val="00F47DC5"/>
    <w:rsid w:val="00F521AD"/>
    <w:rsid w:val="00F5634A"/>
    <w:rsid w:val="00F57EBD"/>
    <w:rsid w:val="00F61600"/>
    <w:rsid w:val="00F64DA7"/>
    <w:rsid w:val="00F90AA5"/>
    <w:rsid w:val="00FC2192"/>
    <w:rsid w:val="00FE5F0F"/>
    <w:rsid w:val="00FF07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26F0"/>
  <w15:chartTrackingRefBased/>
  <w15:docId w15:val="{4A251140-ED34-402C-92C7-2FFFC215E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B5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B5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B5C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B5C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B5C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B5C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5C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5C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5C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5C3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B5C3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B5C3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B5C3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B5C3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B5C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5C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5C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5C3D"/>
    <w:rPr>
      <w:rFonts w:eastAsiaTheme="majorEastAsia" w:cstheme="majorBidi"/>
      <w:color w:val="272727" w:themeColor="text1" w:themeTint="D8"/>
    </w:rPr>
  </w:style>
  <w:style w:type="paragraph" w:styleId="Ttulo">
    <w:name w:val="Title"/>
    <w:basedOn w:val="Normal"/>
    <w:next w:val="Normal"/>
    <w:link w:val="TtuloCar"/>
    <w:uiPriority w:val="10"/>
    <w:qFormat/>
    <w:rsid w:val="00CB5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5C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5C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5C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5C3D"/>
    <w:pPr>
      <w:spacing w:before="160"/>
      <w:jc w:val="center"/>
    </w:pPr>
    <w:rPr>
      <w:i/>
      <w:iCs/>
      <w:color w:val="404040" w:themeColor="text1" w:themeTint="BF"/>
    </w:rPr>
  </w:style>
  <w:style w:type="character" w:customStyle="1" w:styleId="CitaCar">
    <w:name w:val="Cita Car"/>
    <w:basedOn w:val="Fuentedeprrafopredeter"/>
    <w:link w:val="Cita"/>
    <w:uiPriority w:val="29"/>
    <w:rsid w:val="00CB5C3D"/>
    <w:rPr>
      <w:i/>
      <w:iCs/>
      <w:color w:val="404040" w:themeColor="text1" w:themeTint="BF"/>
    </w:rPr>
  </w:style>
  <w:style w:type="paragraph" w:styleId="Prrafodelista">
    <w:name w:val="List Paragraph"/>
    <w:basedOn w:val="Normal"/>
    <w:uiPriority w:val="34"/>
    <w:qFormat/>
    <w:rsid w:val="00CB5C3D"/>
    <w:pPr>
      <w:ind w:left="720"/>
      <w:contextualSpacing/>
    </w:pPr>
  </w:style>
  <w:style w:type="character" w:styleId="nfasisintenso">
    <w:name w:val="Intense Emphasis"/>
    <w:basedOn w:val="Fuentedeprrafopredeter"/>
    <w:uiPriority w:val="21"/>
    <w:qFormat/>
    <w:rsid w:val="00CB5C3D"/>
    <w:rPr>
      <w:i/>
      <w:iCs/>
      <w:color w:val="0F4761" w:themeColor="accent1" w:themeShade="BF"/>
    </w:rPr>
  </w:style>
  <w:style w:type="paragraph" w:styleId="Citadestacada">
    <w:name w:val="Intense Quote"/>
    <w:basedOn w:val="Normal"/>
    <w:next w:val="Normal"/>
    <w:link w:val="CitadestacadaCar"/>
    <w:uiPriority w:val="30"/>
    <w:qFormat/>
    <w:rsid w:val="00CB5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B5C3D"/>
    <w:rPr>
      <w:i/>
      <w:iCs/>
      <w:color w:val="0F4761" w:themeColor="accent1" w:themeShade="BF"/>
    </w:rPr>
  </w:style>
  <w:style w:type="character" w:styleId="Referenciaintensa">
    <w:name w:val="Intense Reference"/>
    <w:basedOn w:val="Fuentedeprrafopredeter"/>
    <w:uiPriority w:val="32"/>
    <w:qFormat/>
    <w:rsid w:val="00CB5C3D"/>
    <w:rPr>
      <w:b/>
      <w:bCs/>
      <w:smallCaps/>
      <w:color w:val="0F4761" w:themeColor="accent1" w:themeShade="BF"/>
      <w:spacing w:val="5"/>
    </w:rPr>
  </w:style>
  <w:style w:type="character" w:styleId="Refdecomentario">
    <w:name w:val="annotation reference"/>
    <w:basedOn w:val="Fuentedeprrafopredeter"/>
    <w:uiPriority w:val="99"/>
    <w:semiHidden/>
    <w:unhideWhenUsed/>
    <w:rsid w:val="008247AF"/>
    <w:rPr>
      <w:sz w:val="16"/>
      <w:szCs w:val="16"/>
    </w:rPr>
  </w:style>
  <w:style w:type="paragraph" w:styleId="Textocomentario">
    <w:name w:val="annotation text"/>
    <w:basedOn w:val="Normal"/>
    <w:link w:val="TextocomentarioCar"/>
    <w:uiPriority w:val="99"/>
    <w:unhideWhenUsed/>
    <w:rsid w:val="008247AF"/>
    <w:pPr>
      <w:spacing w:line="240" w:lineRule="auto"/>
    </w:pPr>
    <w:rPr>
      <w:sz w:val="20"/>
      <w:szCs w:val="20"/>
    </w:rPr>
  </w:style>
  <w:style w:type="character" w:customStyle="1" w:styleId="TextocomentarioCar">
    <w:name w:val="Texto comentario Car"/>
    <w:basedOn w:val="Fuentedeprrafopredeter"/>
    <w:link w:val="Textocomentario"/>
    <w:uiPriority w:val="99"/>
    <w:rsid w:val="008247AF"/>
    <w:rPr>
      <w:sz w:val="20"/>
      <w:szCs w:val="20"/>
    </w:rPr>
  </w:style>
  <w:style w:type="paragraph" w:styleId="Asuntodelcomentario">
    <w:name w:val="annotation subject"/>
    <w:basedOn w:val="Textocomentario"/>
    <w:next w:val="Textocomentario"/>
    <w:link w:val="AsuntodelcomentarioCar"/>
    <w:uiPriority w:val="99"/>
    <w:semiHidden/>
    <w:unhideWhenUsed/>
    <w:rsid w:val="008247AF"/>
    <w:rPr>
      <w:b/>
      <w:bCs/>
    </w:rPr>
  </w:style>
  <w:style w:type="character" w:customStyle="1" w:styleId="AsuntodelcomentarioCar">
    <w:name w:val="Asunto del comentario Car"/>
    <w:basedOn w:val="TextocomentarioCar"/>
    <w:link w:val="Asuntodelcomentario"/>
    <w:uiPriority w:val="99"/>
    <w:semiHidden/>
    <w:rsid w:val="008247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png"/><Relationship Id="rId5" Type="http://schemas.openxmlformats.org/officeDocument/2006/relationships/comments" Target="comment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1510</Words>
  <Characters>8307</Characters>
  <Application>Microsoft Office Word</Application>
  <DocSecurity>0</DocSecurity>
  <Lines>69</Lines>
  <Paragraphs>19</Paragraphs>
  <ScaleCrop>false</ScaleCrop>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136</cp:revision>
  <dcterms:created xsi:type="dcterms:W3CDTF">2024-07-25T20:23:00Z</dcterms:created>
  <dcterms:modified xsi:type="dcterms:W3CDTF">2024-08-08T00:07:00Z</dcterms:modified>
</cp:coreProperties>
</file>